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71DC4" w14:textId="1265B991" w:rsidR="00993356" w:rsidRPr="00C80F8E" w:rsidRDefault="00993356" w:rsidP="00022ED6">
      <w:pPr>
        <w:rPr>
          <w:rFonts w:cstheme="minorHAnsi"/>
          <w:lang w:val="es-ES_tradnl"/>
        </w:rPr>
      </w:pPr>
      <w:bookmarkStart w:id="0" w:name="_Hlk202347998"/>
      <w:bookmarkEnd w:id="0"/>
    </w:p>
    <w:p w14:paraId="754DDC30" w14:textId="77777777" w:rsidR="00993356" w:rsidRPr="00C80F8E" w:rsidRDefault="00993356" w:rsidP="00993356">
      <w:pPr>
        <w:jc w:val="center"/>
        <w:rPr>
          <w:rFonts w:cstheme="minorHAnsi"/>
          <w:lang w:val="es-ES_tradnl"/>
        </w:rPr>
      </w:pPr>
    </w:p>
    <w:p w14:paraId="47052488" w14:textId="77777777" w:rsidR="00993356" w:rsidRPr="00C80F8E" w:rsidRDefault="00993356" w:rsidP="00993356">
      <w:pPr>
        <w:jc w:val="center"/>
        <w:rPr>
          <w:rFonts w:cstheme="minorHAnsi"/>
          <w:lang w:val="es-ES_tradnl"/>
        </w:rPr>
      </w:pPr>
    </w:p>
    <w:p w14:paraId="2B57626E" w14:textId="77777777" w:rsidR="00993356" w:rsidRPr="00C80F8E" w:rsidRDefault="00993356" w:rsidP="00993356">
      <w:pPr>
        <w:jc w:val="center"/>
        <w:rPr>
          <w:rFonts w:cstheme="minorHAnsi"/>
          <w:lang w:val="es-ES_tradnl"/>
        </w:rPr>
      </w:pPr>
    </w:p>
    <w:p w14:paraId="5267D473" w14:textId="77777777" w:rsidR="00993356" w:rsidRPr="00C80F8E" w:rsidRDefault="00993356" w:rsidP="00993356">
      <w:pPr>
        <w:jc w:val="center"/>
        <w:rPr>
          <w:rFonts w:cstheme="minorHAnsi"/>
          <w:lang w:val="es-ES_tradnl"/>
        </w:rPr>
      </w:pPr>
    </w:p>
    <w:p w14:paraId="744E2C58" w14:textId="3326C101" w:rsidR="00512058" w:rsidRPr="00C80F8E" w:rsidRDefault="00512058" w:rsidP="00993356">
      <w:pPr>
        <w:jc w:val="center"/>
        <w:rPr>
          <w:rFonts w:cstheme="minorHAnsi"/>
          <w:lang w:val="es-ES_tradnl"/>
        </w:rPr>
      </w:pPr>
    </w:p>
    <w:p w14:paraId="760833BC" w14:textId="1EDB90FA" w:rsidR="00512058" w:rsidRPr="00C80F8E" w:rsidRDefault="00512058" w:rsidP="00993356">
      <w:pPr>
        <w:jc w:val="center"/>
        <w:rPr>
          <w:rFonts w:cstheme="minorHAnsi"/>
          <w:lang w:val="es-ES_tradnl"/>
        </w:rPr>
      </w:pPr>
    </w:p>
    <w:p w14:paraId="33B5B898" w14:textId="3FDF0926" w:rsidR="00512058" w:rsidRPr="00C80F8E" w:rsidRDefault="00512058" w:rsidP="00993356">
      <w:pPr>
        <w:jc w:val="center"/>
        <w:rPr>
          <w:rFonts w:cstheme="minorHAnsi"/>
          <w:lang w:val="es-ES_tradnl"/>
        </w:rPr>
      </w:pPr>
    </w:p>
    <w:p w14:paraId="5D777E73" w14:textId="1C82193E" w:rsidR="00512058" w:rsidRPr="00C80F8E" w:rsidRDefault="00512058" w:rsidP="00993356">
      <w:pPr>
        <w:jc w:val="center"/>
        <w:rPr>
          <w:rFonts w:cstheme="minorHAnsi"/>
          <w:lang w:val="es-ES_tradnl"/>
        </w:rPr>
      </w:pPr>
    </w:p>
    <w:p w14:paraId="4C3AFCCF" w14:textId="0A242A4C" w:rsidR="00512058" w:rsidRPr="00C80F8E" w:rsidRDefault="00512058" w:rsidP="00993356">
      <w:pPr>
        <w:jc w:val="center"/>
        <w:rPr>
          <w:rFonts w:cstheme="minorHAnsi"/>
          <w:lang w:val="es-ES_tradnl"/>
        </w:rPr>
      </w:pPr>
    </w:p>
    <w:p w14:paraId="0E0174C8" w14:textId="2CD84A43" w:rsidR="00993356" w:rsidRPr="00C80F8E" w:rsidRDefault="00993356" w:rsidP="00993356">
      <w:pPr>
        <w:jc w:val="center"/>
        <w:rPr>
          <w:rFonts w:cstheme="minorHAnsi"/>
          <w:lang w:val="es-ES_tradnl"/>
        </w:rPr>
      </w:pPr>
    </w:p>
    <w:p w14:paraId="68E9DF7D" w14:textId="566F8158" w:rsidR="00993356" w:rsidRPr="00C80F8E" w:rsidRDefault="00993356" w:rsidP="00993356">
      <w:pPr>
        <w:jc w:val="center"/>
        <w:rPr>
          <w:rFonts w:cstheme="minorHAnsi"/>
          <w:sz w:val="48"/>
          <w:lang w:val="es-ES_tradnl"/>
        </w:rPr>
      </w:pPr>
    </w:p>
    <w:p w14:paraId="6F2FBF82" w14:textId="79279770" w:rsidR="006177D2" w:rsidRPr="00C80F8E" w:rsidRDefault="00EC04DD" w:rsidP="00993356">
      <w:pPr>
        <w:jc w:val="center"/>
        <w:rPr>
          <w:rFonts w:ascii="Abadi" w:hAnsi="Abadi" w:cstheme="minorHAnsi"/>
          <w:b/>
          <w:sz w:val="48"/>
          <w:lang w:val="es-ES_tradnl"/>
        </w:rPr>
      </w:pPr>
      <w:r w:rsidRPr="00C80F8E">
        <w:rPr>
          <w:rFonts w:ascii="Abadi" w:hAnsi="Abadi" w:cstheme="minorHAnsi"/>
          <w:b/>
          <w:sz w:val="48"/>
          <w:lang w:val="es-ES_tradnl"/>
        </w:rPr>
        <w:t xml:space="preserve">NOTAS </w:t>
      </w:r>
      <w:r w:rsidR="00993356" w:rsidRPr="00C80F8E">
        <w:rPr>
          <w:rFonts w:ascii="Abadi" w:hAnsi="Abadi" w:cstheme="minorHAnsi"/>
          <w:b/>
          <w:sz w:val="48"/>
          <w:lang w:val="es-ES_tradnl"/>
        </w:rPr>
        <w:t>A LOS ESTADOS FINANCIEROS</w:t>
      </w:r>
    </w:p>
    <w:p w14:paraId="15D2DD28" w14:textId="46437EAA" w:rsidR="00B572DB" w:rsidRPr="00C80F8E" w:rsidRDefault="00B572DB" w:rsidP="00993356">
      <w:pPr>
        <w:jc w:val="center"/>
        <w:rPr>
          <w:rFonts w:cstheme="minorHAnsi"/>
          <w:b/>
          <w:lang w:val="es-ES_tradnl"/>
        </w:rPr>
      </w:pPr>
    </w:p>
    <w:p w14:paraId="557B15FB" w14:textId="64D0DFF3" w:rsidR="00B572DB" w:rsidRPr="00C80F8E" w:rsidRDefault="00B572DB" w:rsidP="00993356">
      <w:pPr>
        <w:jc w:val="center"/>
        <w:rPr>
          <w:rFonts w:cstheme="minorHAnsi"/>
          <w:b/>
          <w:lang w:val="es-ES_tradnl"/>
        </w:rPr>
      </w:pPr>
    </w:p>
    <w:p w14:paraId="6E071ED7" w14:textId="77777777" w:rsidR="00B572DB" w:rsidRPr="00C80F8E" w:rsidRDefault="00B572DB" w:rsidP="00993356">
      <w:pPr>
        <w:jc w:val="center"/>
        <w:rPr>
          <w:rFonts w:cstheme="minorHAnsi"/>
          <w:b/>
          <w:lang w:val="es-ES_tradnl"/>
        </w:rPr>
      </w:pPr>
    </w:p>
    <w:p w14:paraId="22370416" w14:textId="77777777" w:rsidR="00B572DB" w:rsidRPr="00C80F8E" w:rsidRDefault="00B572DB" w:rsidP="00993356">
      <w:pPr>
        <w:jc w:val="center"/>
        <w:rPr>
          <w:rFonts w:cstheme="minorHAnsi"/>
          <w:b/>
          <w:lang w:val="es-ES_tradnl"/>
        </w:rPr>
      </w:pPr>
    </w:p>
    <w:p w14:paraId="33A47BB6" w14:textId="77777777" w:rsidR="00B572DB" w:rsidRPr="00C80F8E" w:rsidRDefault="00B572DB" w:rsidP="00487901">
      <w:pPr>
        <w:tabs>
          <w:tab w:val="left" w:pos="7455"/>
        </w:tabs>
        <w:rPr>
          <w:rFonts w:cstheme="minorHAnsi"/>
          <w:b/>
          <w:lang w:val="es-ES_tradnl"/>
        </w:rPr>
      </w:pPr>
    </w:p>
    <w:p w14:paraId="482AC60A" w14:textId="77777777" w:rsidR="000329A5" w:rsidRPr="00C80F8E" w:rsidRDefault="000329A5" w:rsidP="00B572DB">
      <w:pPr>
        <w:rPr>
          <w:rFonts w:cstheme="minorHAnsi"/>
          <w:lang w:val="es-ES_tradnl"/>
        </w:rPr>
      </w:pPr>
    </w:p>
    <w:p w14:paraId="2BFC4E11" w14:textId="77777777" w:rsidR="00487901" w:rsidRPr="00C80F8E" w:rsidRDefault="00487901" w:rsidP="00B572DB">
      <w:pPr>
        <w:rPr>
          <w:rFonts w:cstheme="minorHAnsi"/>
          <w:lang w:val="es-ES_tradnl"/>
        </w:rPr>
      </w:pPr>
    </w:p>
    <w:p w14:paraId="094BB340" w14:textId="77777777" w:rsidR="00512058" w:rsidRPr="00C80F8E" w:rsidRDefault="00512058" w:rsidP="00B572DB">
      <w:pPr>
        <w:rPr>
          <w:rFonts w:cstheme="minorHAnsi"/>
          <w:lang w:val="es-ES_tradnl"/>
        </w:rPr>
      </w:pPr>
    </w:p>
    <w:p w14:paraId="38286642" w14:textId="77777777" w:rsidR="00512058" w:rsidRPr="00C80F8E" w:rsidRDefault="00512058" w:rsidP="00B572DB">
      <w:pPr>
        <w:rPr>
          <w:rFonts w:cstheme="minorHAnsi"/>
          <w:lang w:val="es-ES_tradnl"/>
        </w:rPr>
      </w:pPr>
    </w:p>
    <w:p w14:paraId="00E7BAD0" w14:textId="77777777" w:rsidR="00512058" w:rsidRPr="00C80F8E" w:rsidRDefault="00512058" w:rsidP="00B572DB">
      <w:pPr>
        <w:rPr>
          <w:rFonts w:cstheme="minorHAnsi"/>
          <w:lang w:val="es-ES_tradnl"/>
        </w:rPr>
      </w:pPr>
    </w:p>
    <w:p w14:paraId="54F65FF4" w14:textId="77777777" w:rsidR="00512058" w:rsidRPr="00C80F8E" w:rsidRDefault="00512058" w:rsidP="00B572DB">
      <w:pPr>
        <w:rPr>
          <w:rFonts w:cstheme="minorHAnsi"/>
          <w:lang w:val="es-ES_tradnl"/>
        </w:rPr>
      </w:pPr>
    </w:p>
    <w:p w14:paraId="0ACBFBCC" w14:textId="77777777" w:rsidR="00512058" w:rsidRPr="00C80F8E" w:rsidRDefault="00512058" w:rsidP="00B572DB">
      <w:pPr>
        <w:rPr>
          <w:rFonts w:cstheme="minorHAnsi"/>
          <w:lang w:val="es-ES_tradnl"/>
        </w:rPr>
      </w:pPr>
    </w:p>
    <w:p w14:paraId="4E876C1E" w14:textId="77777777" w:rsidR="00512058" w:rsidRPr="00C80F8E" w:rsidRDefault="00512058" w:rsidP="00B572DB">
      <w:pPr>
        <w:rPr>
          <w:rFonts w:cstheme="minorHAnsi"/>
          <w:lang w:val="es-ES_tradnl"/>
        </w:rPr>
      </w:pPr>
    </w:p>
    <w:p w14:paraId="5CDA4B9E" w14:textId="77777777" w:rsidR="00487901" w:rsidRPr="00C80F8E" w:rsidRDefault="00487901" w:rsidP="00B572DB">
      <w:pPr>
        <w:rPr>
          <w:rFonts w:cstheme="minorHAnsi"/>
          <w:lang w:val="es-ES_tradnl"/>
        </w:rPr>
      </w:pPr>
    </w:p>
    <w:p w14:paraId="3D93C676" w14:textId="3E4B12C8" w:rsidR="006F53B0" w:rsidRPr="00C80F8E" w:rsidRDefault="006F53B0" w:rsidP="00A7606E">
      <w:pPr>
        <w:pStyle w:val="Prrafodelista"/>
        <w:numPr>
          <w:ilvl w:val="0"/>
          <w:numId w:val="2"/>
        </w:numPr>
        <w:rPr>
          <w:rFonts w:ascii="Abadi" w:hAnsi="Abadi" w:cstheme="minorHAnsi"/>
          <w:b/>
          <w:sz w:val="20"/>
          <w:szCs w:val="20"/>
          <w:lang w:val="es-ES_tradnl"/>
        </w:rPr>
      </w:pPr>
      <w:r w:rsidRPr="00C80F8E">
        <w:rPr>
          <w:rFonts w:ascii="Abadi" w:hAnsi="Abadi" w:cstheme="minorHAnsi"/>
          <w:b/>
          <w:sz w:val="20"/>
          <w:szCs w:val="20"/>
          <w:lang w:val="es-ES_tradnl"/>
        </w:rPr>
        <w:lastRenderedPageBreak/>
        <w:t>Entidad económica</w:t>
      </w:r>
    </w:p>
    <w:p w14:paraId="328EEE2C" w14:textId="5659265F" w:rsidR="00992410" w:rsidRPr="00C80F8E" w:rsidRDefault="00F961F9" w:rsidP="00BA0F44">
      <w:pPr>
        <w:jc w:val="both"/>
        <w:rPr>
          <w:rFonts w:ascii="Abadi" w:hAnsi="Abadi" w:cstheme="minorHAnsi"/>
          <w:sz w:val="20"/>
          <w:szCs w:val="20"/>
          <w:lang w:val="es-ES_tradnl"/>
        </w:rPr>
      </w:pPr>
      <w:r w:rsidRPr="00C80F8E">
        <w:rPr>
          <w:rFonts w:ascii="Abadi" w:hAnsi="Abadi" w:cstheme="minorHAnsi"/>
          <w:sz w:val="20"/>
          <w:szCs w:val="20"/>
          <w:lang w:val="es-ES_tradnl"/>
        </w:rPr>
        <w:t>La Superintendencia de Pensiones (SIPEN)</w:t>
      </w:r>
      <w:r w:rsidR="00F3357F" w:rsidRPr="00C80F8E">
        <w:rPr>
          <w:rFonts w:ascii="Abadi" w:hAnsi="Abadi" w:cstheme="minorHAnsi"/>
          <w:sz w:val="20"/>
          <w:szCs w:val="20"/>
          <w:lang w:val="es-ES_tradnl"/>
        </w:rPr>
        <w:t xml:space="preserve">, es una institución de derecho </w:t>
      </w:r>
      <w:r w:rsidR="00DF0229" w:rsidRPr="00C80F8E">
        <w:rPr>
          <w:rFonts w:ascii="Abadi" w:hAnsi="Abadi" w:cstheme="minorHAnsi"/>
          <w:sz w:val="20"/>
          <w:szCs w:val="20"/>
          <w:lang w:val="es-ES_tradnl"/>
        </w:rPr>
        <w:t>público</w:t>
      </w:r>
      <w:r w:rsidR="00F3357F" w:rsidRPr="00C80F8E">
        <w:rPr>
          <w:rFonts w:ascii="Abadi" w:hAnsi="Abadi" w:cstheme="minorHAnsi"/>
          <w:sz w:val="20"/>
          <w:szCs w:val="20"/>
          <w:lang w:val="es-ES_tradnl"/>
        </w:rPr>
        <w:t xml:space="preserve"> creada conforme al </w:t>
      </w:r>
      <w:r w:rsidR="00DF0229" w:rsidRPr="00C80F8E">
        <w:rPr>
          <w:rFonts w:ascii="Abadi" w:hAnsi="Abadi" w:cstheme="minorHAnsi"/>
          <w:sz w:val="20"/>
          <w:szCs w:val="20"/>
          <w:lang w:val="es-ES_tradnl"/>
        </w:rPr>
        <w:t>artículo</w:t>
      </w:r>
      <w:r w:rsidR="00F3357F" w:rsidRPr="00C80F8E">
        <w:rPr>
          <w:rFonts w:ascii="Abadi" w:hAnsi="Abadi" w:cstheme="minorHAnsi"/>
          <w:sz w:val="20"/>
          <w:szCs w:val="20"/>
          <w:lang w:val="es-ES_tradnl"/>
        </w:rPr>
        <w:t xml:space="preserve"> no. 107</w:t>
      </w:r>
      <w:r w:rsidR="00DD4FA9" w:rsidRPr="00C80F8E">
        <w:rPr>
          <w:rFonts w:ascii="Abadi" w:hAnsi="Abadi" w:cstheme="minorHAnsi"/>
          <w:sz w:val="20"/>
          <w:szCs w:val="20"/>
          <w:lang w:val="es-ES_tradnl"/>
        </w:rPr>
        <w:t xml:space="preserve"> de la Ley 87-01 de fecha 09 de junio de 2001, que crea el Sistema Dominicano de Seguridad Social como una entidad estatal, autónoma, con perso</w:t>
      </w:r>
      <w:r w:rsidR="00D71792" w:rsidRPr="00C80F8E">
        <w:rPr>
          <w:rFonts w:ascii="Abadi" w:hAnsi="Abadi" w:cstheme="minorHAnsi"/>
          <w:sz w:val="20"/>
          <w:szCs w:val="20"/>
          <w:lang w:val="es-ES_tradnl"/>
        </w:rPr>
        <w:t xml:space="preserve">nalidad jurídica y patrimonio propio, para que a nombre y representación del Estado Dominicano ejerza a plenitud, la función de velar por </w:t>
      </w:r>
      <w:r w:rsidR="00DF0229" w:rsidRPr="00C80F8E">
        <w:rPr>
          <w:rFonts w:ascii="Abadi" w:hAnsi="Abadi" w:cstheme="minorHAnsi"/>
          <w:sz w:val="20"/>
          <w:szCs w:val="20"/>
          <w:lang w:val="es-ES_tradnl"/>
        </w:rPr>
        <w:t>el</w:t>
      </w:r>
      <w:r w:rsidR="00D71792" w:rsidRPr="00C80F8E">
        <w:rPr>
          <w:rFonts w:ascii="Abadi" w:hAnsi="Abadi" w:cstheme="minorHAnsi"/>
          <w:sz w:val="20"/>
          <w:szCs w:val="20"/>
          <w:lang w:val="es-ES_tradnl"/>
        </w:rPr>
        <w:t xml:space="preserve"> estricto cumplimiento de la Ley y de sus normas complementarias en su </w:t>
      </w:r>
      <w:r w:rsidR="0021277F" w:rsidRPr="00C80F8E">
        <w:rPr>
          <w:rFonts w:ascii="Abadi" w:hAnsi="Abadi" w:cstheme="minorHAnsi"/>
          <w:sz w:val="20"/>
          <w:szCs w:val="20"/>
          <w:lang w:val="es-ES_tradnl"/>
        </w:rPr>
        <w:t>á</w:t>
      </w:r>
      <w:r w:rsidR="00D71792" w:rsidRPr="00C80F8E">
        <w:rPr>
          <w:rFonts w:ascii="Abadi" w:hAnsi="Abadi" w:cstheme="minorHAnsi"/>
          <w:sz w:val="20"/>
          <w:szCs w:val="20"/>
          <w:lang w:val="es-ES_tradnl"/>
        </w:rPr>
        <w:t xml:space="preserve">rea de </w:t>
      </w:r>
      <w:r w:rsidR="0021277F" w:rsidRPr="00C80F8E">
        <w:rPr>
          <w:rFonts w:ascii="Abadi" w:hAnsi="Abadi" w:cstheme="minorHAnsi"/>
          <w:sz w:val="20"/>
          <w:szCs w:val="20"/>
          <w:lang w:val="es-ES_tradnl"/>
        </w:rPr>
        <w:t>incumbencia, de proteger los intereses de los afiliados de vigilar la solvencia financiera de las Administradoras de Fondos de Pensiones (AFP) y de contribuir a for</w:t>
      </w:r>
      <w:r w:rsidR="00561237" w:rsidRPr="00C80F8E">
        <w:rPr>
          <w:rFonts w:ascii="Abadi" w:hAnsi="Abadi" w:cstheme="minorHAnsi"/>
          <w:sz w:val="20"/>
          <w:szCs w:val="20"/>
          <w:lang w:val="es-ES_tradnl"/>
        </w:rPr>
        <w:t>talecer el Sistema Previsional Dominicano.</w:t>
      </w:r>
    </w:p>
    <w:p w14:paraId="3053ECC5" w14:textId="24929C1A" w:rsidR="00BA0F44" w:rsidRPr="00C80F8E" w:rsidRDefault="00576164" w:rsidP="005364F9">
      <w:pPr>
        <w:ind w:left="426"/>
        <w:jc w:val="both"/>
        <w:rPr>
          <w:rFonts w:ascii="Abadi" w:hAnsi="Abadi" w:cstheme="minorHAnsi"/>
          <w:b/>
          <w:bCs/>
          <w:sz w:val="20"/>
          <w:szCs w:val="20"/>
          <w:lang w:val="es-ES_tradnl"/>
        </w:rPr>
      </w:pPr>
      <w:r w:rsidRPr="00C80F8E">
        <w:rPr>
          <w:rFonts w:ascii="Abadi" w:hAnsi="Abadi" w:cstheme="minorHAnsi"/>
          <w:b/>
          <w:bCs/>
          <w:sz w:val="20"/>
          <w:szCs w:val="20"/>
          <w:lang w:val="es-ES_tradnl"/>
        </w:rPr>
        <w:t xml:space="preserve">1.1 </w:t>
      </w:r>
      <w:r w:rsidR="00675CFD" w:rsidRPr="00C80F8E">
        <w:rPr>
          <w:rFonts w:ascii="Abadi" w:hAnsi="Abadi" w:cstheme="minorHAnsi"/>
          <w:b/>
          <w:bCs/>
          <w:sz w:val="20"/>
          <w:szCs w:val="20"/>
          <w:lang w:val="es-ES_tradnl"/>
        </w:rPr>
        <w:t xml:space="preserve">Principales </w:t>
      </w:r>
      <w:r w:rsidR="004D1A20" w:rsidRPr="00C80F8E">
        <w:rPr>
          <w:rFonts w:ascii="Abadi" w:hAnsi="Abadi" w:cstheme="minorHAnsi"/>
          <w:b/>
          <w:bCs/>
          <w:sz w:val="20"/>
          <w:szCs w:val="20"/>
          <w:lang w:val="es-ES_tradnl"/>
        </w:rPr>
        <w:t>funcio</w:t>
      </w:r>
      <w:r w:rsidR="005E3313" w:rsidRPr="00C80F8E">
        <w:rPr>
          <w:rFonts w:ascii="Abadi" w:hAnsi="Abadi" w:cstheme="minorHAnsi"/>
          <w:b/>
          <w:bCs/>
          <w:sz w:val="20"/>
          <w:szCs w:val="20"/>
          <w:lang w:val="es-ES_tradnl"/>
        </w:rPr>
        <w:t>nes</w:t>
      </w:r>
      <w:r w:rsidR="00BA0F44" w:rsidRPr="00C80F8E">
        <w:rPr>
          <w:rFonts w:ascii="Abadi" w:hAnsi="Abadi" w:cstheme="minorHAnsi"/>
          <w:b/>
          <w:bCs/>
          <w:sz w:val="20"/>
          <w:szCs w:val="20"/>
          <w:lang w:val="es-ES_tradnl"/>
        </w:rPr>
        <w:t>:</w:t>
      </w:r>
    </w:p>
    <w:p w14:paraId="45404460" w14:textId="1B9EDFEB"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Supervisar la correcta aplicación de la presente ley y sus normas complementarias, así como</w:t>
      </w:r>
      <w:r w:rsidR="00282968"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 xml:space="preserve">de las resoluciones del Consejo Nacional de Seguridad Social (CNSS) y de la propia Superintendencia, en lo concerniente al sistema provisional del país; </w:t>
      </w:r>
    </w:p>
    <w:p w14:paraId="38D578F2" w14:textId="668FEB56"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Autorizar la creación y el inicio de las operaciones de las Administradoras de Fondos de Pensiones (AFP) que cumplan con los requisitos establecidos por la presente ley y el reglamento de pensión; y mantener un registro actualizado de las mismas y de los promotores de pensiones; </w:t>
      </w:r>
    </w:p>
    <w:p w14:paraId="04FE9BC2" w14:textId="226D0C51"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Supervisar, controlar, monitorear y evaluar las operaciones financieras de las AFP y verificar la existencia de los sistemas de contabilidad independientes; </w:t>
      </w:r>
    </w:p>
    <w:p w14:paraId="364322B1" w14:textId="295253E4"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Determinar y velar porque los directivos y accionistas de las AFP reúnan las condiciones establecidas por la presente ley y sus normas complementarias; </w:t>
      </w:r>
    </w:p>
    <w:p w14:paraId="7D3BDC46" w14:textId="77278746"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Fiscalizar a las AFP en lo concerniente a las inversiones del Fondo de Pensiones, según los riesgos y límites de inversión dictados por la Comisión Clasificadora de Riesgos y en lo relativo a la entrega de los valores bajo custodia del Banco Central de la República Dominicana; </w:t>
      </w:r>
    </w:p>
    <w:p w14:paraId="4FAFD429" w14:textId="59786B89"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Fiscalizar a las AFP en cuanto a su solvencia financiera y contabilidad; a la constitución, mantenimiento, operación y aplicación de la garantía de rentabilidad, al fondo de reserva de fluctuación de rentabilidad, a las carteras de inversión y al capital mínimo de cada AFP; </w:t>
      </w:r>
    </w:p>
    <w:p w14:paraId="5259F52E" w14:textId="4A996305"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Requerir de las AFP el envío de la información sobre inversiones, transacciones, valores y otras, con la periodicidad que estime necesaria; </w:t>
      </w:r>
    </w:p>
    <w:p w14:paraId="294D7C72" w14:textId="37F8F21A"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Fiscalizar a las Compañías de Seguros en todo lo concerniente al seguro de vida de los afiliados y a la administración de las rentas vitalicias de los pensionados, con la colaboración de la Superintendencia de Seguros; </w:t>
      </w:r>
    </w:p>
    <w:p w14:paraId="1CABDAE3" w14:textId="17652A9F"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Regular, controlar y supervisar los fondos y cajas de pensiones existentes; </w:t>
      </w:r>
    </w:p>
    <w:p w14:paraId="75081F24" w14:textId="4EAA662C"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Solicitar a los emisores de valores y de la bolsa de valores la información que considere necesaria; </w:t>
      </w:r>
    </w:p>
    <w:p w14:paraId="4FB46499" w14:textId="2A1D55D2"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Fiscalizar los mercados primarios y secundarios de valores en lo que concierne a la participación de los Fondos de Pensión, sin perjuicio de las facultades legales de otras instituciones; </w:t>
      </w:r>
    </w:p>
    <w:p w14:paraId="25A109F6" w14:textId="050A5E05"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Disponer el examen de libros, cuentas, archivos, documentos, contabilidad, cobro de comisiones y demás bienes físicos de las AFP; </w:t>
      </w:r>
    </w:p>
    <w:p w14:paraId="7DE88E09" w14:textId="337E9F0D"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Imponer multas y sanciones a las AFP, mediante resoluciones fundamentadas, cuando éstas no cumplan con las disposiciones de la presente ley y sus normas complementarias; </w:t>
      </w:r>
    </w:p>
    <w:p w14:paraId="0B94ADC4" w14:textId="3F024BB8"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Cancelar la autorización y efectuar la liquidación de la AFP en los casos establecidos por la presente ley y sus normas complementarias; </w:t>
      </w:r>
    </w:p>
    <w:p w14:paraId="24543D9F" w14:textId="68B72136"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Velar por el envío a tiempo y veraz de los informes semestrales a los afiliados sobre el estado de situación de su cuenta personal; </w:t>
      </w:r>
    </w:p>
    <w:p w14:paraId="50E1EAB5" w14:textId="65E3BB65"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Supervisar a la Tesorería de la Seguridad Social y al Patronato de Recaudo e Informática de la Seguridad Social (PRISS) en lo relativo a la distribución de las cotizaciones al seguro de vejez, discapacidad y sobrevivencia dentro de los límites, distribución y normas establecidas por la presente ley y sus normas complementarias; </w:t>
      </w:r>
    </w:p>
    <w:p w14:paraId="40DB2B16" w14:textId="5BD187D2"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t xml:space="preserve">Proponer al CNSS la regulación de los aspectos no contemplados sobre el sistema de pensiones, dentro de los principios, políticas, normas y procedimientos establecidos por la presente ley y sus normas complementarias; </w:t>
      </w:r>
    </w:p>
    <w:p w14:paraId="5B9B7F01" w14:textId="12FB9588" w:rsidR="005422CE" w:rsidRPr="00C80F8E" w:rsidRDefault="005422CE" w:rsidP="00A7606E">
      <w:pPr>
        <w:pStyle w:val="Prrafodelista"/>
        <w:numPr>
          <w:ilvl w:val="0"/>
          <w:numId w:val="3"/>
        </w:numPr>
        <w:jc w:val="both"/>
        <w:rPr>
          <w:rFonts w:ascii="Abadi" w:hAnsi="Abadi" w:cstheme="minorHAnsi"/>
          <w:sz w:val="20"/>
          <w:szCs w:val="20"/>
          <w:lang w:val="es-ES_tradnl"/>
        </w:rPr>
      </w:pPr>
      <w:r w:rsidRPr="00C80F8E">
        <w:rPr>
          <w:rFonts w:ascii="Abadi" w:hAnsi="Abadi" w:cstheme="minorHAnsi"/>
          <w:sz w:val="20"/>
          <w:szCs w:val="20"/>
          <w:lang w:val="es-ES_tradnl"/>
        </w:rPr>
        <w:lastRenderedPageBreak/>
        <w:t xml:space="preserve">Someter a la consideración de la CNSS las iniciativas necesarias en el marco de la presente ley y sus normas complementarias, orientadas a garantizar el desarrollo del sistema, la rentabilidad de los fondos de pensión, la solidez financiera de las AFP y la libertad de selección de los afiliados. </w:t>
      </w:r>
    </w:p>
    <w:p w14:paraId="7DDC627E" w14:textId="587B10B2" w:rsidR="00561237" w:rsidRPr="00C80F8E" w:rsidRDefault="008A78EA" w:rsidP="005422CE">
      <w:pPr>
        <w:jc w:val="both"/>
        <w:rPr>
          <w:rFonts w:ascii="Abadi" w:hAnsi="Abadi" w:cstheme="minorHAnsi"/>
          <w:sz w:val="20"/>
          <w:szCs w:val="20"/>
          <w:lang w:val="es-ES_tradnl"/>
        </w:rPr>
      </w:pPr>
      <w:r w:rsidRPr="00C80F8E">
        <w:rPr>
          <w:rFonts w:ascii="Abadi" w:hAnsi="Abadi" w:cstheme="minorHAnsi"/>
          <w:b/>
          <w:bCs/>
          <w:sz w:val="20"/>
          <w:szCs w:val="20"/>
          <w:lang w:val="es-ES_tradnl"/>
        </w:rPr>
        <w:t>Párrafo. -</w:t>
      </w:r>
      <w:r w:rsidR="005422CE" w:rsidRPr="00C80F8E">
        <w:rPr>
          <w:rFonts w:ascii="Abadi" w:hAnsi="Abadi" w:cstheme="minorHAnsi"/>
          <w:sz w:val="20"/>
          <w:szCs w:val="20"/>
          <w:lang w:val="es-ES_tradnl"/>
        </w:rPr>
        <w:t xml:space="preserve"> Las operaciones de la Superintendencia de Pensiones serán financiadas con el fondo previsto para tales fines en el artículo 56. Durante el primer año de operación el Estado Dominicano asignará recursos extraordinarios a la Superintendencia con cargo al presupuesto general de la Nación. El Estado Dominicano aportará un presupuesto para cubrir las inversiones en infraestructura y equipos y durante el primer año le asignará recursos para el inicio de sus operaciones.</w:t>
      </w:r>
    </w:p>
    <w:p w14:paraId="1EAF12CB" w14:textId="44D16A89" w:rsidR="00D759AB" w:rsidRPr="00C80F8E" w:rsidRDefault="005364F9" w:rsidP="005364F9">
      <w:pPr>
        <w:ind w:left="426"/>
        <w:jc w:val="both"/>
        <w:rPr>
          <w:rFonts w:ascii="Abadi" w:hAnsi="Abadi" w:cstheme="minorHAnsi"/>
          <w:b/>
          <w:bCs/>
          <w:sz w:val="20"/>
          <w:szCs w:val="20"/>
          <w:lang w:val="es-ES_tradnl"/>
        </w:rPr>
      </w:pPr>
      <w:r w:rsidRPr="00C80F8E">
        <w:rPr>
          <w:rFonts w:ascii="Abadi" w:hAnsi="Abadi" w:cstheme="minorHAnsi"/>
          <w:b/>
          <w:bCs/>
          <w:sz w:val="20"/>
          <w:szCs w:val="20"/>
          <w:lang w:val="es-ES_tradnl"/>
        </w:rPr>
        <w:t>1.</w:t>
      </w:r>
      <w:r w:rsidR="00686269" w:rsidRPr="00C80F8E">
        <w:rPr>
          <w:rFonts w:ascii="Abadi" w:hAnsi="Abadi" w:cstheme="minorHAnsi"/>
          <w:b/>
          <w:bCs/>
          <w:sz w:val="20"/>
          <w:szCs w:val="20"/>
          <w:lang w:val="es-ES_tradnl"/>
        </w:rPr>
        <w:t>2</w:t>
      </w:r>
      <w:r w:rsidRPr="00C80F8E">
        <w:rPr>
          <w:rFonts w:ascii="Abadi" w:hAnsi="Abadi" w:cstheme="minorHAnsi"/>
          <w:b/>
          <w:bCs/>
          <w:sz w:val="20"/>
          <w:szCs w:val="20"/>
          <w:lang w:val="es-ES_tradnl"/>
        </w:rPr>
        <w:t xml:space="preserve"> </w:t>
      </w:r>
      <w:r w:rsidR="00C52BC0" w:rsidRPr="00C80F8E">
        <w:rPr>
          <w:rFonts w:ascii="Abadi" w:hAnsi="Abadi" w:cstheme="minorHAnsi"/>
          <w:b/>
          <w:bCs/>
          <w:sz w:val="20"/>
          <w:szCs w:val="20"/>
          <w:lang w:val="es-ES_tradnl"/>
        </w:rPr>
        <w:t>Los principales funcionarios</w:t>
      </w:r>
      <w:r w:rsidR="001E1130" w:rsidRPr="00C80F8E">
        <w:rPr>
          <w:rFonts w:ascii="Abadi" w:hAnsi="Abadi" w:cstheme="minorHAnsi"/>
          <w:b/>
          <w:bCs/>
          <w:sz w:val="20"/>
          <w:szCs w:val="20"/>
          <w:lang w:val="es-ES_tradnl"/>
        </w:rPr>
        <w:t xml:space="preserve"> corresponde a los siguientes:</w:t>
      </w:r>
    </w:p>
    <w:tbl>
      <w:tblPr>
        <w:tblStyle w:val="Tablaconcuadrcula"/>
        <w:tblW w:w="0" w:type="auto"/>
        <w:tblLook w:val="04A0" w:firstRow="1" w:lastRow="0" w:firstColumn="1" w:lastColumn="0" w:noHBand="0" w:noVBand="1"/>
      </w:tblPr>
      <w:tblGrid>
        <w:gridCol w:w="2689"/>
        <w:gridCol w:w="6661"/>
      </w:tblGrid>
      <w:tr w:rsidR="002B7B47" w:rsidRPr="00C80F8E" w14:paraId="0333FA58" w14:textId="77777777" w:rsidTr="00B743E2">
        <w:tc>
          <w:tcPr>
            <w:tcW w:w="2689" w:type="dxa"/>
            <w:shd w:val="clear" w:color="auto" w:fill="0070C0"/>
          </w:tcPr>
          <w:p w14:paraId="6ED362B1" w14:textId="780E6706" w:rsidR="002B7B47" w:rsidRPr="00C80F8E" w:rsidRDefault="00AB5F48" w:rsidP="00AB5F48">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Nombres</w:t>
            </w:r>
          </w:p>
        </w:tc>
        <w:tc>
          <w:tcPr>
            <w:tcW w:w="6661" w:type="dxa"/>
            <w:shd w:val="clear" w:color="auto" w:fill="0070C0"/>
          </w:tcPr>
          <w:p w14:paraId="3E7E0288" w14:textId="10D621A2" w:rsidR="002B7B47" w:rsidRPr="00C80F8E" w:rsidRDefault="00AB5F48" w:rsidP="00AB5F48">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Posición</w:t>
            </w:r>
          </w:p>
        </w:tc>
      </w:tr>
      <w:tr w:rsidR="002B7B47" w:rsidRPr="00C80F8E" w14:paraId="20C3378C" w14:textId="77777777" w:rsidTr="00B31A61">
        <w:tc>
          <w:tcPr>
            <w:tcW w:w="2689" w:type="dxa"/>
          </w:tcPr>
          <w:p w14:paraId="301D5D83" w14:textId="5F501B66" w:rsidR="002B7B47" w:rsidRPr="00C80F8E" w:rsidRDefault="00AB5F48" w:rsidP="00BA0F44">
            <w:pPr>
              <w:jc w:val="both"/>
              <w:rPr>
                <w:rFonts w:ascii="Abadi" w:hAnsi="Abadi" w:cstheme="minorHAnsi"/>
                <w:sz w:val="20"/>
                <w:szCs w:val="20"/>
                <w:lang w:val="es-ES_tradnl"/>
              </w:rPr>
            </w:pPr>
            <w:r w:rsidRPr="00C80F8E">
              <w:rPr>
                <w:rFonts w:ascii="Abadi" w:hAnsi="Abadi" w:cstheme="minorHAnsi"/>
                <w:sz w:val="20"/>
                <w:szCs w:val="20"/>
                <w:lang w:val="es-ES_tradnl"/>
              </w:rPr>
              <w:t>Francisco A. Torres Díaz</w:t>
            </w:r>
          </w:p>
        </w:tc>
        <w:tc>
          <w:tcPr>
            <w:tcW w:w="6661" w:type="dxa"/>
          </w:tcPr>
          <w:p w14:paraId="71994A45" w14:textId="42A4D0C0" w:rsidR="002B7B47" w:rsidRPr="00C80F8E" w:rsidRDefault="00AB5F48" w:rsidP="00BA0F44">
            <w:pPr>
              <w:jc w:val="both"/>
              <w:rPr>
                <w:rFonts w:ascii="Abadi" w:hAnsi="Abadi" w:cstheme="minorHAnsi"/>
                <w:sz w:val="20"/>
                <w:szCs w:val="20"/>
                <w:lang w:val="es-ES_tradnl"/>
              </w:rPr>
            </w:pPr>
            <w:r w:rsidRPr="00C80F8E">
              <w:rPr>
                <w:rFonts w:ascii="Abadi" w:hAnsi="Abadi" w:cstheme="minorHAnsi"/>
                <w:sz w:val="20"/>
                <w:szCs w:val="20"/>
                <w:lang w:val="es-ES_tradnl"/>
              </w:rPr>
              <w:t>Superintendente de Pensiones</w:t>
            </w:r>
          </w:p>
        </w:tc>
      </w:tr>
      <w:tr w:rsidR="00B31A61" w:rsidRPr="00C80F8E" w14:paraId="0C252C76" w14:textId="77777777" w:rsidTr="00B31A61">
        <w:tc>
          <w:tcPr>
            <w:tcW w:w="2689" w:type="dxa"/>
          </w:tcPr>
          <w:p w14:paraId="2E2F460F" w14:textId="1AE006E3"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Joan Carlo Henríquez Solís</w:t>
            </w:r>
          </w:p>
        </w:tc>
        <w:tc>
          <w:tcPr>
            <w:tcW w:w="6661" w:type="dxa"/>
          </w:tcPr>
          <w:p w14:paraId="669F6651" w14:textId="319452EC"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 Ejecutivo</w:t>
            </w:r>
          </w:p>
        </w:tc>
      </w:tr>
      <w:tr w:rsidR="00B31A61" w:rsidRPr="00C80F8E" w14:paraId="10D8B6D4" w14:textId="77777777" w:rsidTr="00B31A61">
        <w:tc>
          <w:tcPr>
            <w:tcW w:w="2689" w:type="dxa"/>
          </w:tcPr>
          <w:p w14:paraId="5989D442" w14:textId="23B7CA65"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Guillermo Valera</w:t>
            </w:r>
          </w:p>
        </w:tc>
        <w:tc>
          <w:tcPr>
            <w:tcW w:w="6661" w:type="dxa"/>
          </w:tcPr>
          <w:p w14:paraId="17A0DA05" w14:textId="46E34B74" w:rsidR="00B31A61" w:rsidRPr="00C80F8E" w:rsidRDefault="00C34A0D" w:rsidP="00B31A61">
            <w:pPr>
              <w:jc w:val="both"/>
              <w:rPr>
                <w:rFonts w:ascii="Abadi" w:hAnsi="Abadi" w:cstheme="minorHAnsi"/>
                <w:sz w:val="20"/>
                <w:szCs w:val="20"/>
                <w:lang w:val="es-ES_tradnl"/>
              </w:rPr>
            </w:pPr>
            <w:r w:rsidRPr="00C80F8E">
              <w:rPr>
                <w:rFonts w:ascii="Abadi" w:hAnsi="Abadi" w:cstheme="minorHAnsi"/>
                <w:sz w:val="20"/>
                <w:szCs w:val="20"/>
                <w:lang w:val="es-ES_tradnl"/>
              </w:rPr>
              <w:t>Consultor</w:t>
            </w:r>
            <w:r w:rsidR="00B31A61" w:rsidRPr="00C80F8E">
              <w:rPr>
                <w:rFonts w:ascii="Abadi" w:hAnsi="Abadi" w:cstheme="minorHAnsi"/>
                <w:sz w:val="20"/>
                <w:szCs w:val="20"/>
                <w:lang w:val="es-ES_tradnl"/>
              </w:rPr>
              <w:t xml:space="preserve"> Jurídico</w:t>
            </w:r>
          </w:p>
        </w:tc>
      </w:tr>
      <w:tr w:rsidR="00792A8F" w:rsidRPr="00C80F8E" w14:paraId="69A912E4" w14:textId="77777777" w:rsidTr="00B31A61">
        <w:tc>
          <w:tcPr>
            <w:tcW w:w="2689" w:type="dxa"/>
          </w:tcPr>
          <w:p w14:paraId="7FEDC931" w14:textId="1B9EB18E" w:rsidR="00792A8F" w:rsidRPr="00C80F8E" w:rsidRDefault="00792A8F" w:rsidP="00B31A61">
            <w:pPr>
              <w:jc w:val="both"/>
              <w:rPr>
                <w:rFonts w:ascii="Abadi" w:hAnsi="Abadi" w:cstheme="minorHAnsi"/>
                <w:sz w:val="20"/>
                <w:szCs w:val="20"/>
                <w:lang w:val="es-ES_tradnl"/>
              </w:rPr>
            </w:pPr>
            <w:r w:rsidRPr="00C80F8E">
              <w:rPr>
                <w:rFonts w:ascii="Abadi" w:hAnsi="Abadi" w:cstheme="minorHAnsi"/>
                <w:sz w:val="20"/>
                <w:szCs w:val="20"/>
                <w:lang w:val="es-ES_tradnl"/>
              </w:rPr>
              <w:t xml:space="preserve">Mónica Peña </w:t>
            </w:r>
            <w:r w:rsidR="004D6E37" w:rsidRPr="00C80F8E">
              <w:rPr>
                <w:rFonts w:ascii="Abadi" w:hAnsi="Abadi" w:cstheme="minorHAnsi"/>
                <w:sz w:val="20"/>
                <w:szCs w:val="20"/>
                <w:lang w:val="es-ES_tradnl"/>
              </w:rPr>
              <w:t>Medina</w:t>
            </w:r>
          </w:p>
        </w:tc>
        <w:tc>
          <w:tcPr>
            <w:tcW w:w="6661" w:type="dxa"/>
          </w:tcPr>
          <w:p w14:paraId="604C4968" w14:textId="66C786F8" w:rsidR="00792A8F" w:rsidRPr="00C80F8E" w:rsidRDefault="004D6E37" w:rsidP="00B31A61">
            <w:pPr>
              <w:jc w:val="both"/>
              <w:rPr>
                <w:rFonts w:ascii="Abadi" w:hAnsi="Abadi" w:cstheme="minorHAnsi"/>
                <w:sz w:val="20"/>
                <w:szCs w:val="20"/>
                <w:lang w:val="es-ES_tradnl"/>
              </w:rPr>
            </w:pPr>
            <w:r w:rsidRPr="00C80F8E">
              <w:rPr>
                <w:rFonts w:ascii="Abadi" w:hAnsi="Abadi" w:cstheme="minorHAnsi"/>
                <w:sz w:val="20"/>
                <w:szCs w:val="20"/>
                <w:lang w:val="es-ES_tradnl"/>
              </w:rPr>
              <w:t>Contralora</w:t>
            </w:r>
          </w:p>
        </w:tc>
      </w:tr>
      <w:tr w:rsidR="00B31A61" w:rsidRPr="00C80F8E" w14:paraId="17028273" w14:textId="77777777" w:rsidTr="00B31A61">
        <w:tc>
          <w:tcPr>
            <w:tcW w:w="2689" w:type="dxa"/>
          </w:tcPr>
          <w:p w14:paraId="3D35BA0B" w14:textId="0C6C648E"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Amaury Féliz Flores</w:t>
            </w:r>
          </w:p>
        </w:tc>
        <w:tc>
          <w:tcPr>
            <w:tcW w:w="6661" w:type="dxa"/>
          </w:tcPr>
          <w:p w14:paraId="512F19ED" w14:textId="63057C97"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 Administrativo y Financiero</w:t>
            </w:r>
          </w:p>
        </w:tc>
      </w:tr>
      <w:tr w:rsidR="00B31A61" w:rsidRPr="00C80F8E" w14:paraId="58C6887E" w14:textId="77777777" w:rsidTr="00B31A61">
        <w:tc>
          <w:tcPr>
            <w:tcW w:w="2689" w:type="dxa"/>
          </w:tcPr>
          <w:p w14:paraId="756F4F07" w14:textId="0B296A87"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Franklin Enrique Díaz</w:t>
            </w:r>
          </w:p>
        </w:tc>
        <w:tc>
          <w:tcPr>
            <w:tcW w:w="6661" w:type="dxa"/>
          </w:tcPr>
          <w:p w14:paraId="4A37C67D" w14:textId="48FA4FEA"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 de Control Operativo</w:t>
            </w:r>
          </w:p>
        </w:tc>
      </w:tr>
      <w:tr w:rsidR="00B31A61" w:rsidRPr="00C80F8E" w14:paraId="74FCA29E" w14:textId="77777777" w:rsidTr="00B31A61">
        <w:tc>
          <w:tcPr>
            <w:tcW w:w="2689" w:type="dxa"/>
          </w:tcPr>
          <w:p w14:paraId="7C17BAC3" w14:textId="242C087C"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Rhoden Joel De León</w:t>
            </w:r>
          </w:p>
        </w:tc>
        <w:tc>
          <w:tcPr>
            <w:tcW w:w="6661" w:type="dxa"/>
          </w:tcPr>
          <w:p w14:paraId="3564BEE8" w14:textId="7FA49CED"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 de Control de Beneficios</w:t>
            </w:r>
          </w:p>
        </w:tc>
      </w:tr>
      <w:tr w:rsidR="00B31A61" w:rsidRPr="009276B1" w14:paraId="76F123E3" w14:textId="77777777" w:rsidTr="00B31A61">
        <w:tc>
          <w:tcPr>
            <w:tcW w:w="2689" w:type="dxa"/>
          </w:tcPr>
          <w:p w14:paraId="1AF78D86" w14:textId="5469F852"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Arianny Marie Pérez</w:t>
            </w:r>
          </w:p>
        </w:tc>
        <w:tc>
          <w:tcPr>
            <w:tcW w:w="6661" w:type="dxa"/>
          </w:tcPr>
          <w:p w14:paraId="25FD068D" w14:textId="32D1A2A3"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w:t>
            </w:r>
            <w:r w:rsidR="00C34A0D" w:rsidRPr="00C80F8E">
              <w:rPr>
                <w:rFonts w:ascii="Abadi" w:hAnsi="Abadi" w:cstheme="minorHAnsi"/>
                <w:sz w:val="20"/>
                <w:szCs w:val="20"/>
                <w:lang w:val="es-ES_tradnl"/>
              </w:rPr>
              <w:t>ra</w:t>
            </w:r>
            <w:r w:rsidRPr="00C80F8E">
              <w:rPr>
                <w:rFonts w:ascii="Abadi" w:hAnsi="Abadi" w:cstheme="minorHAnsi"/>
                <w:sz w:val="20"/>
                <w:szCs w:val="20"/>
                <w:lang w:val="es-ES_tradnl"/>
              </w:rPr>
              <w:t xml:space="preserve"> de </w:t>
            </w:r>
            <w:r w:rsidR="00831F0F" w:rsidRPr="00C80F8E">
              <w:rPr>
                <w:rFonts w:ascii="Abadi" w:hAnsi="Abadi" w:cstheme="minorHAnsi"/>
                <w:sz w:val="20"/>
                <w:szCs w:val="20"/>
                <w:lang w:val="es-ES_tradnl"/>
              </w:rPr>
              <w:t>Control de Inversiones</w:t>
            </w:r>
          </w:p>
        </w:tc>
      </w:tr>
      <w:tr w:rsidR="00B31A61" w:rsidRPr="009276B1" w14:paraId="4598CACB" w14:textId="77777777" w:rsidTr="00B31A61">
        <w:tc>
          <w:tcPr>
            <w:tcW w:w="2689" w:type="dxa"/>
          </w:tcPr>
          <w:p w14:paraId="1BFAC569" w14:textId="58245203"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Luis Eduardo Valdez</w:t>
            </w:r>
          </w:p>
        </w:tc>
        <w:tc>
          <w:tcPr>
            <w:tcW w:w="6661" w:type="dxa"/>
          </w:tcPr>
          <w:p w14:paraId="7E74100D" w14:textId="1A78645A"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 de Tecnología de la Información y Comunicaciones</w:t>
            </w:r>
          </w:p>
        </w:tc>
      </w:tr>
      <w:tr w:rsidR="00B31A61" w:rsidRPr="009276B1" w14:paraId="2A161785" w14:textId="77777777" w:rsidTr="00B31A61">
        <w:tc>
          <w:tcPr>
            <w:tcW w:w="2689" w:type="dxa"/>
          </w:tcPr>
          <w:p w14:paraId="11A8A232" w14:textId="1FCBDE3B"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Zoila Lissette Martínez</w:t>
            </w:r>
          </w:p>
        </w:tc>
        <w:tc>
          <w:tcPr>
            <w:tcW w:w="6661" w:type="dxa"/>
          </w:tcPr>
          <w:p w14:paraId="0D63007B" w14:textId="458C51BB"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Directora de Planificación y Desarrollo</w:t>
            </w:r>
          </w:p>
        </w:tc>
      </w:tr>
      <w:tr w:rsidR="00B31A61" w:rsidRPr="009276B1" w14:paraId="32C2719C" w14:textId="77777777" w:rsidTr="00B31A61">
        <w:tc>
          <w:tcPr>
            <w:tcW w:w="2689" w:type="dxa"/>
          </w:tcPr>
          <w:p w14:paraId="2C9122EF" w14:textId="4C807B8E"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Priscil</w:t>
            </w:r>
            <w:r w:rsidR="00057171" w:rsidRPr="00C80F8E">
              <w:rPr>
                <w:rFonts w:ascii="Abadi" w:hAnsi="Abadi" w:cstheme="minorHAnsi"/>
                <w:sz w:val="20"/>
                <w:szCs w:val="20"/>
                <w:lang w:val="es-ES_tradnl"/>
              </w:rPr>
              <w:t>l</w:t>
            </w:r>
            <w:r w:rsidRPr="00C80F8E">
              <w:rPr>
                <w:rFonts w:ascii="Abadi" w:hAnsi="Abadi" w:cstheme="minorHAnsi"/>
                <w:sz w:val="20"/>
                <w:szCs w:val="20"/>
                <w:lang w:val="es-ES_tradnl"/>
              </w:rPr>
              <w:t>a Virginia Montas</w:t>
            </w:r>
          </w:p>
        </w:tc>
        <w:tc>
          <w:tcPr>
            <w:tcW w:w="6661" w:type="dxa"/>
          </w:tcPr>
          <w:p w14:paraId="56F5E797" w14:textId="752927E0"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Directora de Secretaria</w:t>
            </w:r>
            <w:r w:rsidR="006E57B4"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Técnica de la Comisión Clasificadora de Riesgos y Limites de Inversiones</w:t>
            </w:r>
          </w:p>
        </w:tc>
      </w:tr>
      <w:tr w:rsidR="00B31A61" w:rsidRPr="00C80F8E" w14:paraId="69881850" w14:textId="77777777" w:rsidTr="00B31A61">
        <w:tc>
          <w:tcPr>
            <w:tcW w:w="2689" w:type="dxa"/>
          </w:tcPr>
          <w:p w14:paraId="688D3AC5" w14:textId="1EC0802A" w:rsidR="00B31A61" w:rsidRPr="00C80F8E" w:rsidRDefault="002926B6" w:rsidP="00B31A61">
            <w:pPr>
              <w:jc w:val="both"/>
              <w:rPr>
                <w:rFonts w:ascii="Abadi" w:hAnsi="Abadi" w:cstheme="minorHAnsi"/>
                <w:sz w:val="20"/>
                <w:szCs w:val="20"/>
                <w:lang w:val="es-ES_tradnl"/>
              </w:rPr>
            </w:pPr>
            <w:r w:rsidRPr="00C80F8E">
              <w:rPr>
                <w:rFonts w:ascii="Abadi" w:hAnsi="Abadi" w:cstheme="minorHAnsi"/>
                <w:sz w:val="20"/>
                <w:szCs w:val="20"/>
                <w:lang w:val="es-ES_tradnl"/>
              </w:rPr>
              <w:t xml:space="preserve">Antonio </w:t>
            </w:r>
            <w:r w:rsidR="00C8600B" w:rsidRPr="00C80F8E">
              <w:rPr>
                <w:rFonts w:ascii="Abadi" w:hAnsi="Abadi" w:cstheme="minorHAnsi"/>
                <w:sz w:val="20"/>
                <w:szCs w:val="20"/>
                <w:lang w:val="es-ES_tradnl"/>
              </w:rPr>
              <w:t>María</w:t>
            </w:r>
            <w:r w:rsidR="00DF2FF5" w:rsidRPr="00C80F8E">
              <w:rPr>
                <w:rFonts w:ascii="Abadi" w:hAnsi="Abadi" w:cstheme="minorHAnsi"/>
                <w:sz w:val="20"/>
                <w:szCs w:val="20"/>
                <w:lang w:val="es-ES_tradnl"/>
              </w:rPr>
              <w:t xml:space="preserve"> Giraldi</w:t>
            </w:r>
          </w:p>
        </w:tc>
        <w:tc>
          <w:tcPr>
            <w:tcW w:w="6661" w:type="dxa"/>
          </w:tcPr>
          <w:p w14:paraId="0D149440" w14:textId="57391A31" w:rsidR="00B31A61" w:rsidRPr="00C80F8E" w:rsidRDefault="00B31A61" w:rsidP="00B31A61">
            <w:pPr>
              <w:jc w:val="both"/>
              <w:rPr>
                <w:rFonts w:ascii="Abadi" w:hAnsi="Abadi" w:cstheme="minorHAnsi"/>
                <w:sz w:val="20"/>
                <w:szCs w:val="20"/>
                <w:lang w:val="es-ES_tradnl"/>
              </w:rPr>
            </w:pPr>
            <w:r w:rsidRPr="00C80F8E">
              <w:rPr>
                <w:rFonts w:ascii="Abadi" w:hAnsi="Abadi" w:cstheme="minorHAnsi"/>
                <w:sz w:val="20"/>
                <w:szCs w:val="20"/>
                <w:lang w:val="es-ES_tradnl"/>
              </w:rPr>
              <w:t>Director de Estudios</w:t>
            </w:r>
          </w:p>
        </w:tc>
      </w:tr>
      <w:tr w:rsidR="00B31A61" w:rsidRPr="009276B1" w14:paraId="32CCEF30" w14:textId="77777777" w:rsidTr="00B31A61">
        <w:tc>
          <w:tcPr>
            <w:tcW w:w="2689" w:type="dxa"/>
          </w:tcPr>
          <w:p w14:paraId="2519B6B1" w14:textId="6B25F996" w:rsidR="00B31A61" w:rsidRPr="00C80F8E" w:rsidRDefault="00D90B04" w:rsidP="00B31A61">
            <w:pPr>
              <w:jc w:val="both"/>
              <w:rPr>
                <w:rFonts w:ascii="Abadi" w:hAnsi="Abadi" w:cstheme="minorHAnsi"/>
                <w:sz w:val="20"/>
                <w:szCs w:val="20"/>
                <w:lang w:val="es-ES_tradnl"/>
              </w:rPr>
            </w:pPr>
            <w:r w:rsidRPr="00C80F8E">
              <w:rPr>
                <w:rFonts w:ascii="Abadi" w:hAnsi="Abadi" w:cstheme="minorHAnsi"/>
                <w:sz w:val="20"/>
                <w:szCs w:val="20"/>
                <w:lang w:val="es-ES_tradnl"/>
              </w:rPr>
              <w:t xml:space="preserve">Juan Manuel </w:t>
            </w:r>
            <w:r w:rsidR="00823CE7" w:rsidRPr="00C80F8E">
              <w:rPr>
                <w:rFonts w:ascii="Abadi" w:hAnsi="Abadi" w:cstheme="minorHAnsi"/>
                <w:sz w:val="20"/>
                <w:szCs w:val="20"/>
                <w:lang w:val="es-ES_tradnl"/>
              </w:rPr>
              <w:t xml:space="preserve">Pérez </w:t>
            </w:r>
            <w:r w:rsidRPr="00C80F8E">
              <w:rPr>
                <w:rFonts w:ascii="Abadi" w:hAnsi="Abadi" w:cstheme="minorHAnsi"/>
                <w:sz w:val="20"/>
                <w:szCs w:val="20"/>
                <w:lang w:val="es-ES_tradnl"/>
              </w:rPr>
              <w:t>Osorio</w:t>
            </w:r>
          </w:p>
        </w:tc>
        <w:tc>
          <w:tcPr>
            <w:tcW w:w="6661" w:type="dxa"/>
          </w:tcPr>
          <w:p w14:paraId="668260EA" w14:textId="208D158C" w:rsidR="00B31A61" w:rsidRPr="00C80F8E" w:rsidRDefault="00823CE7" w:rsidP="00B31A61">
            <w:pPr>
              <w:jc w:val="both"/>
              <w:rPr>
                <w:rFonts w:ascii="Abadi" w:hAnsi="Abadi" w:cstheme="minorHAnsi"/>
                <w:sz w:val="20"/>
                <w:szCs w:val="20"/>
                <w:lang w:val="es-ES_tradnl"/>
              </w:rPr>
            </w:pPr>
            <w:r w:rsidRPr="00C80F8E">
              <w:rPr>
                <w:rFonts w:ascii="Abadi" w:hAnsi="Abadi" w:cstheme="minorHAnsi"/>
                <w:sz w:val="20"/>
                <w:szCs w:val="20"/>
                <w:lang w:val="es-ES_tradnl"/>
              </w:rPr>
              <w:t xml:space="preserve">Director de Educación </w:t>
            </w:r>
            <w:r w:rsidR="00FD7A62" w:rsidRPr="00C80F8E">
              <w:rPr>
                <w:rFonts w:ascii="Abadi" w:hAnsi="Abadi" w:cstheme="minorHAnsi"/>
                <w:sz w:val="20"/>
                <w:szCs w:val="20"/>
                <w:lang w:val="es-ES_tradnl"/>
              </w:rPr>
              <w:t>y Atención Previsional</w:t>
            </w:r>
          </w:p>
        </w:tc>
      </w:tr>
    </w:tbl>
    <w:p w14:paraId="4BD4374D" w14:textId="77777777" w:rsidR="001E1130" w:rsidRPr="00C80F8E" w:rsidRDefault="001E1130" w:rsidP="00BA0F44">
      <w:pPr>
        <w:jc w:val="both"/>
        <w:rPr>
          <w:rFonts w:ascii="Abadi" w:hAnsi="Abadi" w:cstheme="minorHAnsi"/>
          <w:b/>
          <w:bCs/>
          <w:sz w:val="20"/>
          <w:szCs w:val="20"/>
          <w:lang w:val="es-ES_tradnl"/>
        </w:rPr>
      </w:pPr>
    </w:p>
    <w:p w14:paraId="666D87CA" w14:textId="27CE61D6" w:rsidR="006F53B0" w:rsidRPr="00C80F8E" w:rsidRDefault="006C6B29" w:rsidP="00A7606E">
      <w:pPr>
        <w:pStyle w:val="Prrafodelista"/>
        <w:numPr>
          <w:ilvl w:val="0"/>
          <w:numId w:val="2"/>
        </w:num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Base de presentación </w:t>
      </w:r>
    </w:p>
    <w:p w14:paraId="12FF44F9" w14:textId="44B4D835" w:rsidR="006F53B0" w:rsidRPr="00C80F8E" w:rsidRDefault="006C6B29" w:rsidP="001E35D9">
      <w:pPr>
        <w:jc w:val="both"/>
        <w:rPr>
          <w:rFonts w:ascii="Abadi" w:hAnsi="Abadi" w:cstheme="minorHAnsi"/>
          <w:sz w:val="20"/>
          <w:szCs w:val="20"/>
          <w:lang w:val="es-ES_tradnl"/>
        </w:rPr>
      </w:pPr>
      <w:r w:rsidRPr="00C80F8E">
        <w:rPr>
          <w:rFonts w:ascii="Abadi" w:hAnsi="Abadi" w:cstheme="minorHAnsi"/>
          <w:sz w:val="20"/>
          <w:szCs w:val="20"/>
          <w:lang w:val="es-ES_tradnl"/>
        </w:rPr>
        <w:t xml:space="preserve">Los Estados Financieros han sido preparados de conformidad con las Normas Internacionales de Contabilidad del Sector Público (NICSP), </w:t>
      </w:r>
      <w:r w:rsidR="00DA192F" w:rsidRPr="00C80F8E">
        <w:rPr>
          <w:rFonts w:ascii="Abadi" w:hAnsi="Abadi" w:cstheme="minorHAnsi"/>
          <w:sz w:val="20"/>
          <w:szCs w:val="20"/>
          <w:lang w:val="es-ES_tradnl"/>
        </w:rPr>
        <w:t>adop</w:t>
      </w:r>
      <w:r w:rsidRPr="00C80F8E">
        <w:rPr>
          <w:rFonts w:ascii="Abadi" w:hAnsi="Abadi" w:cstheme="minorHAnsi"/>
          <w:sz w:val="20"/>
          <w:szCs w:val="20"/>
          <w:lang w:val="es-ES_tradnl"/>
        </w:rPr>
        <w:t>tadas por la Dirección General de Contabilidad Gubernamental de la República Dominicana (D</w:t>
      </w:r>
      <w:r w:rsidR="001F47CF" w:rsidRPr="00C80F8E">
        <w:rPr>
          <w:rFonts w:ascii="Abadi" w:hAnsi="Abadi" w:cstheme="minorHAnsi"/>
          <w:sz w:val="20"/>
          <w:szCs w:val="20"/>
          <w:lang w:val="es-ES_tradnl"/>
        </w:rPr>
        <w:t>IGECOG</w:t>
      </w:r>
      <w:r w:rsidRPr="00C80F8E">
        <w:rPr>
          <w:rFonts w:ascii="Abadi" w:hAnsi="Abadi" w:cstheme="minorHAnsi"/>
          <w:sz w:val="20"/>
          <w:szCs w:val="20"/>
          <w:lang w:val="es-ES_tradnl"/>
        </w:rPr>
        <w:t>).</w:t>
      </w:r>
    </w:p>
    <w:p w14:paraId="6605D035" w14:textId="34150330" w:rsidR="006C6B29" w:rsidRPr="00C80F8E" w:rsidRDefault="001D6035" w:rsidP="001E35D9">
      <w:pPr>
        <w:jc w:val="both"/>
        <w:rPr>
          <w:rFonts w:ascii="Abadi" w:hAnsi="Abadi" w:cstheme="minorHAnsi"/>
          <w:sz w:val="20"/>
          <w:szCs w:val="20"/>
          <w:lang w:val="es-ES_tradnl"/>
        </w:rPr>
      </w:pPr>
      <w:r w:rsidRPr="00C80F8E">
        <w:rPr>
          <w:rFonts w:ascii="Abadi" w:hAnsi="Abadi" w:cstheme="minorHAnsi"/>
          <w:sz w:val="20"/>
          <w:szCs w:val="20"/>
          <w:lang w:val="es-ES_tradnl"/>
        </w:rPr>
        <w:t>La Superintendencia De Pensiones (SIPEN)</w:t>
      </w:r>
      <w:r w:rsidR="006C6B29" w:rsidRPr="00C80F8E">
        <w:rPr>
          <w:rFonts w:ascii="Abadi" w:hAnsi="Abadi" w:cstheme="minorHAnsi"/>
          <w:sz w:val="20"/>
          <w:szCs w:val="20"/>
          <w:lang w:val="es-ES_tradnl"/>
        </w:rPr>
        <w:t xml:space="preserve"> presenta su presupuesto aprobado según la base contable de efectivo y los Estados Financieros </w:t>
      </w:r>
      <w:r w:rsidR="008A78EA" w:rsidRPr="00C80F8E">
        <w:rPr>
          <w:rFonts w:ascii="Abadi" w:hAnsi="Abadi" w:cstheme="minorHAnsi"/>
          <w:sz w:val="20"/>
          <w:szCs w:val="20"/>
          <w:lang w:val="es-ES_tradnl"/>
        </w:rPr>
        <w:t>sobre la</w:t>
      </w:r>
      <w:r w:rsidR="006C6B29" w:rsidRPr="00C80F8E">
        <w:rPr>
          <w:rFonts w:ascii="Abadi" w:hAnsi="Abadi" w:cstheme="minorHAnsi"/>
          <w:sz w:val="20"/>
          <w:szCs w:val="20"/>
          <w:lang w:val="es-ES_tradnl"/>
        </w:rPr>
        <w:t xml:space="preserve"> base </w:t>
      </w:r>
      <w:r w:rsidR="00675CFD" w:rsidRPr="00C80F8E">
        <w:rPr>
          <w:rFonts w:ascii="Abadi" w:hAnsi="Abadi" w:cstheme="minorHAnsi"/>
          <w:sz w:val="20"/>
          <w:szCs w:val="20"/>
          <w:lang w:val="es-ES_tradnl"/>
        </w:rPr>
        <w:t>de acumulación</w:t>
      </w:r>
      <w:r w:rsidR="006C6B29" w:rsidRPr="00C80F8E">
        <w:rPr>
          <w:rFonts w:ascii="Abadi" w:hAnsi="Abadi" w:cstheme="minorHAnsi"/>
          <w:sz w:val="20"/>
          <w:szCs w:val="20"/>
          <w:lang w:val="es-ES_tradnl"/>
        </w:rPr>
        <w:t xml:space="preserve"> (o devengo) conforme a las estipulaciones d</w:t>
      </w:r>
      <w:r w:rsidR="00BA0F44" w:rsidRPr="00C80F8E">
        <w:rPr>
          <w:rFonts w:ascii="Abadi" w:hAnsi="Abadi" w:cstheme="minorHAnsi"/>
          <w:sz w:val="20"/>
          <w:szCs w:val="20"/>
          <w:lang w:val="es-ES_tradnl"/>
        </w:rPr>
        <w:t>e</w:t>
      </w:r>
      <w:r w:rsidR="006C6B29" w:rsidRPr="00C80F8E">
        <w:rPr>
          <w:rFonts w:ascii="Abadi" w:hAnsi="Abadi" w:cstheme="minorHAnsi"/>
          <w:sz w:val="20"/>
          <w:szCs w:val="20"/>
          <w:lang w:val="es-ES_tradnl"/>
        </w:rPr>
        <w:t xml:space="preserve"> las NICSP 24 “Presentación d</w:t>
      </w:r>
      <w:r w:rsidR="00BA0F44" w:rsidRPr="00C80F8E">
        <w:rPr>
          <w:rFonts w:ascii="Abadi" w:hAnsi="Abadi" w:cstheme="minorHAnsi"/>
          <w:sz w:val="20"/>
          <w:szCs w:val="20"/>
          <w:lang w:val="es-ES_tradnl"/>
        </w:rPr>
        <w:t>e</w:t>
      </w:r>
      <w:r w:rsidR="006C6B29" w:rsidRPr="00C80F8E">
        <w:rPr>
          <w:rFonts w:ascii="Abadi" w:hAnsi="Abadi" w:cstheme="minorHAnsi"/>
          <w:sz w:val="20"/>
          <w:szCs w:val="20"/>
          <w:lang w:val="es-ES_tradnl"/>
        </w:rPr>
        <w:t xml:space="preserve"> Información del Presupuesto en los Estados Financieros”.</w:t>
      </w:r>
    </w:p>
    <w:p w14:paraId="08117399" w14:textId="11DCCF16" w:rsidR="006C6B29" w:rsidRPr="00C80F8E" w:rsidRDefault="006C6B29" w:rsidP="001E35D9">
      <w:pPr>
        <w:jc w:val="both"/>
        <w:rPr>
          <w:rFonts w:ascii="Abadi" w:hAnsi="Abadi" w:cstheme="minorHAnsi"/>
          <w:sz w:val="20"/>
          <w:szCs w:val="20"/>
          <w:lang w:val="es-ES_tradnl"/>
        </w:rPr>
      </w:pPr>
      <w:r w:rsidRPr="00C80F8E">
        <w:rPr>
          <w:rFonts w:ascii="Abadi" w:hAnsi="Abadi" w:cstheme="minorHAnsi"/>
          <w:sz w:val="20"/>
          <w:szCs w:val="20"/>
          <w:lang w:val="es-ES_tradnl"/>
        </w:rPr>
        <w:t xml:space="preserve">El presupuesto se aprueba según la base contable de efectivo siguiendo una clasificación de pago por funciones. </w:t>
      </w:r>
      <w:r w:rsidR="00295E35"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El presupuesto aprobado cubre el periodo fiscal que va desde</w:t>
      </w:r>
      <w:r w:rsidR="001E79C1" w:rsidRPr="00C80F8E">
        <w:rPr>
          <w:rFonts w:ascii="Abadi" w:hAnsi="Abadi" w:cstheme="minorHAnsi"/>
          <w:sz w:val="20"/>
          <w:szCs w:val="20"/>
          <w:lang w:val="es-ES_tradnl"/>
        </w:rPr>
        <w:t xml:space="preserve"> el 1ro. </w:t>
      </w:r>
      <w:r w:rsidR="00675CFD" w:rsidRPr="00C80F8E">
        <w:rPr>
          <w:rFonts w:ascii="Abadi" w:hAnsi="Abadi" w:cstheme="minorHAnsi"/>
          <w:sz w:val="20"/>
          <w:szCs w:val="20"/>
          <w:lang w:val="es-ES_tradnl"/>
        </w:rPr>
        <w:t>De</w:t>
      </w:r>
      <w:r w:rsidR="005C37BE" w:rsidRPr="00C80F8E">
        <w:rPr>
          <w:rFonts w:ascii="Abadi" w:hAnsi="Abadi" w:cstheme="minorHAnsi"/>
          <w:sz w:val="20"/>
          <w:szCs w:val="20"/>
          <w:lang w:val="es-ES_tradnl"/>
        </w:rPr>
        <w:t xml:space="preserve"> 01</w:t>
      </w:r>
      <w:r w:rsidRPr="00C80F8E">
        <w:rPr>
          <w:rFonts w:ascii="Abadi" w:hAnsi="Abadi" w:cstheme="minorHAnsi"/>
          <w:sz w:val="20"/>
          <w:szCs w:val="20"/>
          <w:lang w:val="es-ES_tradnl"/>
        </w:rPr>
        <w:t xml:space="preserve"> enero hasta el 31 de </w:t>
      </w:r>
      <w:r w:rsidR="005C37BE" w:rsidRPr="00C80F8E">
        <w:rPr>
          <w:rFonts w:ascii="Abadi" w:hAnsi="Abadi" w:cstheme="minorHAnsi"/>
          <w:sz w:val="20"/>
          <w:szCs w:val="20"/>
          <w:lang w:val="es-ES_tradnl"/>
        </w:rPr>
        <w:t>diciembre</w:t>
      </w:r>
      <w:r w:rsidRPr="00C80F8E">
        <w:rPr>
          <w:rFonts w:ascii="Abadi" w:hAnsi="Abadi" w:cstheme="minorHAnsi"/>
          <w:sz w:val="20"/>
          <w:szCs w:val="20"/>
          <w:lang w:val="es-ES_tradnl"/>
        </w:rPr>
        <w:t xml:space="preserve"> de </w:t>
      </w:r>
      <w:r w:rsidR="00EA10FC" w:rsidRPr="00C80F8E">
        <w:rPr>
          <w:rFonts w:ascii="Abadi" w:hAnsi="Abadi" w:cstheme="minorHAnsi"/>
          <w:sz w:val="20"/>
          <w:szCs w:val="20"/>
          <w:lang w:val="es-ES_tradnl"/>
        </w:rPr>
        <w:t>202</w:t>
      </w:r>
      <w:r w:rsidR="00EA2E51">
        <w:rPr>
          <w:rFonts w:ascii="Abadi" w:hAnsi="Abadi" w:cstheme="minorHAnsi"/>
          <w:sz w:val="20"/>
          <w:szCs w:val="20"/>
          <w:lang w:val="es-ES_tradnl"/>
        </w:rPr>
        <w:t>5</w:t>
      </w:r>
      <w:r w:rsidRPr="00C80F8E">
        <w:rPr>
          <w:rFonts w:ascii="Abadi" w:hAnsi="Abadi" w:cstheme="minorHAnsi"/>
          <w:sz w:val="20"/>
          <w:szCs w:val="20"/>
          <w:lang w:val="es-ES_tradnl"/>
        </w:rPr>
        <w:t xml:space="preserve"> y es incluido como información suplementaria en los Estados Financieros y sus Notas.</w:t>
      </w:r>
    </w:p>
    <w:p w14:paraId="208C6F1A" w14:textId="77777777" w:rsidR="00D13825" w:rsidRPr="00C80F8E" w:rsidRDefault="006C6B29" w:rsidP="001E35D9">
      <w:pPr>
        <w:jc w:val="both"/>
        <w:rPr>
          <w:rFonts w:ascii="Abadi" w:hAnsi="Abadi" w:cstheme="minorHAnsi"/>
          <w:sz w:val="20"/>
          <w:szCs w:val="20"/>
          <w:lang w:val="es-ES_tradnl"/>
        </w:rPr>
      </w:pPr>
      <w:r w:rsidRPr="00C80F8E">
        <w:rPr>
          <w:rFonts w:ascii="Abadi" w:hAnsi="Abadi" w:cstheme="minorHAnsi"/>
          <w:sz w:val="20"/>
          <w:szCs w:val="20"/>
          <w:lang w:val="es-ES_tradnl"/>
        </w:rPr>
        <w:t>La emisión y aprobación final de los Estados Financieros debe ser autorizada por el funcionario de más alto nivel</w:t>
      </w:r>
      <w:r w:rsidR="005B7D2A" w:rsidRPr="00C80F8E">
        <w:rPr>
          <w:rFonts w:ascii="Abadi" w:hAnsi="Abadi" w:cstheme="minorHAnsi"/>
          <w:sz w:val="20"/>
          <w:szCs w:val="20"/>
          <w:lang w:val="es-ES_tradnl"/>
        </w:rPr>
        <w:t>.</w:t>
      </w:r>
    </w:p>
    <w:p w14:paraId="468F0CF7" w14:textId="77777777" w:rsidR="00D93789" w:rsidRPr="00C80F8E" w:rsidRDefault="00D93789" w:rsidP="00A7606E">
      <w:pPr>
        <w:pStyle w:val="Prrafodelista"/>
        <w:numPr>
          <w:ilvl w:val="0"/>
          <w:numId w:val="2"/>
        </w:num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 Moneda funcional y de presentación </w:t>
      </w:r>
    </w:p>
    <w:p w14:paraId="78F1355F" w14:textId="64E630EB" w:rsidR="00D93789" w:rsidRPr="00C80F8E" w:rsidRDefault="00D93789" w:rsidP="001E35D9">
      <w:pPr>
        <w:jc w:val="both"/>
        <w:rPr>
          <w:rFonts w:ascii="Abadi" w:hAnsi="Abadi" w:cstheme="minorHAnsi"/>
          <w:sz w:val="20"/>
          <w:szCs w:val="20"/>
          <w:lang w:val="es-ES_tradnl"/>
        </w:rPr>
      </w:pPr>
      <w:r w:rsidRPr="00C80F8E">
        <w:rPr>
          <w:rFonts w:ascii="Abadi" w:hAnsi="Abadi" w:cstheme="minorHAnsi"/>
          <w:sz w:val="20"/>
          <w:szCs w:val="20"/>
          <w:lang w:val="es-ES_tradnl"/>
        </w:rPr>
        <w:t>Los Estados Financieros están presentados en pesos dominicanos (</w:t>
      </w:r>
      <w:r w:rsidR="000D5497" w:rsidRPr="00C80F8E">
        <w:rPr>
          <w:rFonts w:ascii="Abadi" w:hAnsi="Abadi" w:cstheme="minorHAnsi"/>
          <w:sz w:val="20"/>
          <w:szCs w:val="20"/>
          <w:lang w:val="es-ES_tradnl"/>
        </w:rPr>
        <w:t>RD$/DOP$</w:t>
      </w:r>
      <w:r w:rsidR="00797026" w:rsidRPr="00C80F8E">
        <w:rPr>
          <w:rFonts w:ascii="Abadi" w:hAnsi="Abadi" w:cstheme="minorHAnsi"/>
          <w:sz w:val="20"/>
          <w:szCs w:val="20"/>
          <w:lang w:val="es-ES_tradnl"/>
        </w:rPr>
        <w:t>$</w:t>
      </w:r>
      <w:r w:rsidRPr="00C80F8E">
        <w:rPr>
          <w:rFonts w:ascii="Abadi" w:hAnsi="Abadi" w:cstheme="minorHAnsi"/>
          <w:sz w:val="20"/>
          <w:szCs w:val="20"/>
          <w:lang w:val="es-ES_tradnl"/>
        </w:rPr>
        <w:t>) moneda de curso legal en República Dominicana.</w:t>
      </w:r>
      <w:r w:rsidR="00712012" w:rsidRPr="00C80F8E">
        <w:rPr>
          <w:rFonts w:ascii="Abadi" w:hAnsi="Abadi" w:cstheme="minorHAnsi"/>
          <w:sz w:val="20"/>
          <w:szCs w:val="20"/>
          <w:lang w:val="es-ES_tradnl"/>
        </w:rPr>
        <w:t xml:space="preserve"> </w:t>
      </w:r>
      <w:r w:rsidR="00295E35" w:rsidRPr="00C80F8E">
        <w:rPr>
          <w:rFonts w:ascii="Abadi" w:hAnsi="Abadi" w:cstheme="minorHAnsi"/>
          <w:sz w:val="20"/>
          <w:szCs w:val="20"/>
          <w:lang w:val="es-ES_tradnl"/>
        </w:rPr>
        <w:t xml:space="preserve"> </w:t>
      </w:r>
      <w:r w:rsidR="00C83449" w:rsidRPr="00C80F8E">
        <w:rPr>
          <w:rFonts w:ascii="Abadi" w:hAnsi="Abadi" w:cstheme="minorHAnsi"/>
          <w:sz w:val="20"/>
          <w:szCs w:val="20"/>
          <w:lang w:val="es-ES_tradnl"/>
        </w:rPr>
        <w:t xml:space="preserve">Esta práctica </w:t>
      </w:r>
      <w:r w:rsidR="00675CFD" w:rsidRPr="00C80F8E">
        <w:rPr>
          <w:rFonts w:ascii="Abadi" w:hAnsi="Abadi" w:cstheme="minorHAnsi"/>
          <w:sz w:val="20"/>
          <w:szCs w:val="20"/>
          <w:lang w:val="es-ES_tradnl"/>
        </w:rPr>
        <w:t>está</w:t>
      </w:r>
      <w:r w:rsidR="00C83449" w:rsidRPr="00C80F8E">
        <w:rPr>
          <w:rFonts w:ascii="Abadi" w:hAnsi="Abadi" w:cstheme="minorHAnsi"/>
          <w:sz w:val="20"/>
          <w:szCs w:val="20"/>
          <w:lang w:val="es-ES_tradnl"/>
        </w:rPr>
        <w:t xml:space="preserve"> de acuerdo con la Norma Internacional de Contabilidad No. 21 (NICSP).</w:t>
      </w:r>
      <w:r w:rsidR="00712012" w:rsidRPr="00C80F8E">
        <w:rPr>
          <w:rFonts w:ascii="Abadi" w:hAnsi="Abadi" w:cstheme="minorHAnsi"/>
          <w:sz w:val="20"/>
          <w:szCs w:val="20"/>
          <w:lang w:val="es-ES_tradnl"/>
        </w:rPr>
        <w:t xml:space="preserve"> </w:t>
      </w:r>
      <w:r w:rsidR="009B4958" w:rsidRPr="00C80F8E">
        <w:rPr>
          <w:rFonts w:ascii="Abadi" w:hAnsi="Abadi" w:cstheme="minorHAnsi"/>
          <w:sz w:val="20"/>
          <w:szCs w:val="20"/>
          <w:lang w:val="es-ES_tradnl"/>
        </w:rPr>
        <w:t xml:space="preserve"> </w:t>
      </w:r>
      <w:r w:rsidR="00295E35" w:rsidRPr="00C80F8E">
        <w:rPr>
          <w:rFonts w:ascii="Abadi" w:hAnsi="Abadi" w:cstheme="minorHAnsi"/>
          <w:sz w:val="20"/>
          <w:szCs w:val="20"/>
          <w:lang w:val="es-ES_tradnl"/>
        </w:rPr>
        <w:t xml:space="preserve"> </w:t>
      </w:r>
      <w:r w:rsidR="00A911BB" w:rsidRPr="00C80F8E">
        <w:rPr>
          <w:rFonts w:ascii="Abadi" w:hAnsi="Abadi" w:cstheme="minorHAnsi"/>
          <w:sz w:val="20"/>
          <w:szCs w:val="20"/>
          <w:lang w:val="es-ES_tradnl"/>
        </w:rPr>
        <w:t>Los registros contables de</w:t>
      </w:r>
      <w:r w:rsidR="001C25AE" w:rsidRPr="00C80F8E">
        <w:rPr>
          <w:rFonts w:ascii="Abadi" w:hAnsi="Abadi" w:cstheme="minorHAnsi"/>
          <w:sz w:val="20"/>
          <w:szCs w:val="20"/>
          <w:lang w:val="es-ES_tradnl"/>
        </w:rPr>
        <w:t xml:space="preserve"> la Entidad se mantienen en pesos dominicanos, moneda de curso legal en </w:t>
      </w:r>
      <w:r w:rsidR="00675CFD" w:rsidRPr="00C80F8E">
        <w:rPr>
          <w:rFonts w:ascii="Abadi" w:hAnsi="Abadi" w:cstheme="minorHAnsi"/>
          <w:sz w:val="20"/>
          <w:szCs w:val="20"/>
          <w:lang w:val="es-ES_tradnl"/>
        </w:rPr>
        <w:t>República</w:t>
      </w:r>
      <w:r w:rsidR="001C25AE" w:rsidRPr="00C80F8E">
        <w:rPr>
          <w:rFonts w:ascii="Abadi" w:hAnsi="Abadi" w:cstheme="minorHAnsi"/>
          <w:sz w:val="20"/>
          <w:szCs w:val="20"/>
          <w:lang w:val="es-ES_tradnl"/>
        </w:rPr>
        <w:t xml:space="preserve"> Dominicana y moneda funcional de la Entidad, y</w:t>
      </w:r>
      <w:r w:rsidR="00293F4C" w:rsidRPr="00C80F8E">
        <w:rPr>
          <w:rFonts w:ascii="Abadi" w:hAnsi="Abadi" w:cstheme="minorHAnsi"/>
          <w:sz w:val="20"/>
          <w:szCs w:val="20"/>
          <w:lang w:val="es-ES_tradnl"/>
        </w:rPr>
        <w:t>, por lo tanto, las transacciones efectuadas en moneda extranjera se registran a la tasa de cambio vigente en la fecha de la transacción.  Los activos y pasivos en moneda extranjera al final de cada periodo</w:t>
      </w:r>
      <w:r w:rsidR="002D3E2F" w:rsidRPr="00C80F8E">
        <w:rPr>
          <w:rFonts w:ascii="Abadi" w:hAnsi="Abadi" w:cstheme="minorHAnsi"/>
          <w:sz w:val="20"/>
          <w:szCs w:val="20"/>
          <w:lang w:val="es-ES_tradnl"/>
        </w:rPr>
        <w:t xml:space="preserve"> contable son ajustadas a la tasa de cambio oficial del Banco Central de la </w:t>
      </w:r>
      <w:r w:rsidR="00675CFD" w:rsidRPr="00C80F8E">
        <w:rPr>
          <w:rFonts w:ascii="Abadi" w:hAnsi="Abadi" w:cstheme="minorHAnsi"/>
          <w:sz w:val="20"/>
          <w:szCs w:val="20"/>
          <w:lang w:val="es-ES_tradnl"/>
        </w:rPr>
        <w:t>República</w:t>
      </w:r>
      <w:r w:rsidR="002D3E2F" w:rsidRPr="00C80F8E">
        <w:rPr>
          <w:rFonts w:ascii="Abadi" w:hAnsi="Abadi" w:cstheme="minorHAnsi"/>
          <w:sz w:val="20"/>
          <w:szCs w:val="20"/>
          <w:lang w:val="es-ES_tradnl"/>
        </w:rPr>
        <w:t xml:space="preserve"> Dominicana vigente a esa fecha.  Las diferencias cambiarias</w:t>
      </w:r>
      <w:r w:rsidR="001E58E0" w:rsidRPr="00C80F8E">
        <w:rPr>
          <w:rFonts w:ascii="Abadi" w:hAnsi="Abadi" w:cstheme="minorHAnsi"/>
          <w:sz w:val="20"/>
          <w:szCs w:val="20"/>
          <w:lang w:val="es-ES_tradnl"/>
        </w:rPr>
        <w:t xml:space="preserve"> originadas de la liquidación </w:t>
      </w:r>
      <w:r w:rsidR="001E58E0" w:rsidRPr="00C80F8E">
        <w:rPr>
          <w:rFonts w:ascii="Abadi" w:hAnsi="Abadi" w:cstheme="minorHAnsi"/>
          <w:sz w:val="20"/>
          <w:szCs w:val="20"/>
          <w:lang w:val="es-ES_tradnl"/>
        </w:rPr>
        <w:lastRenderedPageBreak/>
        <w:t>de activos y obligaciones denominadas en moneda extranjera y por el ajuste de los saldos a la fecha de cierre son registradas contra los resultados del periodo en que ocurrieron.</w:t>
      </w:r>
    </w:p>
    <w:p w14:paraId="58996EF4" w14:textId="785EE7FE" w:rsidR="009652BB" w:rsidRPr="00C80F8E" w:rsidRDefault="009652BB" w:rsidP="001E35D9">
      <w:pPr>
        <w:jc w:val="both"/>
        <w:rPr>
          <w:rFonts w:ascii="Abadi" w:hAnsi="Abadi" w:cstheme="minorHAnsi"/>
          <w:sz w:val="20"/>
          <w:szCs w:val="20"/>
          <w:lang w:val="es-ES_tradnl"/>
        </w:rPr>
      </w:pPr>
      <w:r w:rsidRPr="00C80F8E">
        <w:rPr>
          <w:rFonts w:ascii="Abadi" w:hAnsi="Abadi" w:cstheme="minorHAnsi"/>
          <w:sz w:val="20"/>
          <w:szCs w:val="20"/>
          <w:lang w:val="es-ES_tradnl"/>
        </w:rPr>
        <w:t xml:space="preserve">Al </w:t>
      </w:r>
      <w:r w:rsidR="003264A1" w:rsidRPr="00C80F8E">
        <w:rPr>
          <w:rFonts w:ascii="Abadi" w:hAnsi="Abadi" w:cstheme="minorHAnsi"/>
          <w:sz w:val="20"/>
          <w:szCs w:val="20"/>
          <w:lang w:val="es-ES_tradnl"/>
        </w:rPr>
        <w:t xml:space="preserve">30 de </w:t>
      </w:r>
      <w:r w:rsidR="00B31CC1" w:rsidRPr="00C80F8E">
        <w:rPr>
          <w:rFonts w:ascii="Abadi" w:hAnsi="Abadi" w:cstheme="minorHAnsi"/>
          <w:sz w:val="20"/>
          <w:szCs w:val="20"/>
          <w:lang w:val="es-ES_tradnl"/>
        </w:rPr>
        <w:t>junio</w:t>
      </w:r>
      <w:r w:rsidRPr="00C80F8E">
        <w:rPr>
          <w:rFonts w:ascii="Abadi" w:hAnsi="Abadi" w:cstheme="minorHAnsi"/>
          <w:sz w:val="20"/>
          <w:szCs w:val="20"/>
          <w:lang w:val="es-ES_tradnl"/>
        </w:rPr>
        <w:t xml:space="preserve">, las tasas de cambios del peso dominicano con relación al </w:t>
      </w:r>
      <w:r w:rsidR="00212507" w:rsidRPr="00C80F8E">
        <w:rPr>
          <w:rFonts w:ascii="Abadi" w:hAnsi="Abadi" w:cstheme="minorHAnsi"/>
          <w:sz w:val="20"/>
          <w:szCs w:val="20"/>
          <w:lang w:val="es-ES_tradnl"/>
        </w:rPr>
        <w:t xml:space="preserve">dólar de los Estados Unidos de </w:t>
      </w:r>
      <w:r w:rsidR="00675CFD" w:rsidRPr="00C80F8E">
        <w:rPr>
          <w:rFonts w:ascii="Abadi" w:hAnsi="Abadi" w:cstheme="minorHAnsi"/>
          <w:sz w:val="20"/>
          <w:szCs w:val="20"/>
          <w:lang w:val="es-ES_tradnl"/>
        </w:rPr>
        <w:t>América</w:t>
      </w:r>
      <w:r w:rsidR="00212507" w:rsidRPr="00C80F8E">
        <w:rPr>
          <w:rFonts w:ascii="Abadi" w:hAnsi="Abadi" w:cstheme="minorHAnsi"/>
          <w:sz w:val="20"/>
          <w:szCs w:val="20"/>
          <w:lang w:val="es-ES_tradnl"/>
        </w:rPr>
        <w:t xml:space="preserve"> (US) y al Euro (</w:t>
      </w:r>
      <w:r w:rsidR="007049AA" w:rsidRPr="00C80F8E">
        <w:rPr>
          <w:rFonts w:ascii="Abadi" w:hAnsi="Abadi" w:cstheme="minorHAnsi"/>
          <w:sz w:val="20"/>
          <w:szCs w:val="20"/>
          <w:lang w:val="es-ES_tradnl"/>
        </w:rPr>
        <w:t>EU</w:t>
      </w:r>
      <w:r w:rsidR="00564361" w:rsidRPr="00C80F8E">
        <w:rPr>
          <w:rFonts w:ascii="Abadi" w:hAnsi="Abadi" w:cstheme="minorHAnsi"/>
          <w:sz w:val="20"/>
          <w:szCs w:val="20"/>
          <w:lang w:val="es-ES_tradnl"/>
        </w:rPr>
        <w:t>) fueron como se muestra a continuación:</w:t>
      </w:r>
    </w:p>
    <w:p w14:paraId="114260C8" w14:textId="77777777" w:rsidR="00813F1A" w:rsidRPr="00C80F8E" w:rsidRDefault="00813F1A" w:rsidP="001E35D9">
      <w:pPr>
        <w:jc w:val="both"/>
        <w:rPr>
          <w:rFonts w:ascii="Abadi" w:hAnsi="Abadi" w:cstheme="minorHAnsi"/>
          <w:sz w:val="20"/>
          <w:szCs w:val="20"/>
          <w:lang w:val="es-ES_tradnl"/>
        </w:rPr>
      </w:pPr>
    </w:p>
    <w:tbl>
      <w:tblPr>
        <w:tblStyle w:val="Tablaconcuadrcula"/>
        <w:tblW w:w="0" w:type="auto"/>
        <w:tblLook w:val="04A0" w:firstRow="1" w:lastRow="0" w:firstColumn="1" w:lastColumn="0" w:noHBand="0" w:noVBand="1"/>
      </w:tblPr>
      <w:tblGrid>
        <w:gridCol w:w="3116"/>
        <w:gridCol w:w="3117"/>
        <w:gridCol w:w="3117"/>
      </w:tblGrid>
      <w:tr w:rsidR="00234CF6" w:rsidRPr="00C80F8E" w14:paraId="5BB9ED97" w14:textId="77777777" w:rsidTr="00B743E2">
        <w:tc>
          <w:tcPr>
            <w:tcW w:w="3116" w:type="dxa"/>
            <w:shd w:val="clear" w:color="auto" w:fill="0070C0"/>
          </w:tcPr>
          <w:p w14:paraId="3A879FD7" w14:textId="77777777" w:rsidR="00234CF6" w:rsidRPr="00C80F8E" w:rsidRDefault="00121549" w:rsidP="00D22142">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Moneda Extranjera</w:t>
            </w:r>
          </w:p>
        </w:tc>
        <w:tc>
          <w:tcPr>
            <w:tcW w:w="3117" w:type="dxa"/>
            <w:shd w:val="clear" w:color="auto" w:fill="0070C0"/>
          </w:tcPr>
          <w:p w14:paraId="000BC404" w14:textId="0F99303F" w:rsidR="00234CF6" w:rsidRPr="00C80F8E" w:rsidRDefault="00EA10FC" w:rsidP="00234CF6">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821124">
              <w:rPr>
                <w:rFonts w:ascii="Abadi" w:hAnsi="Abadi" w:cstheme="minorHAnsi"/>
                <w:b/>
                <w:bCs/>
                <w:color w:val="FFFFFF" w:themeColor="background1"/>
                <w:sz w:val="20"/>
                <w:szCs w:val="20"/>
                <w:lang w:val="es-ES_tradnl"/>
              </w:rPr>
              <w:t>5</w:t>
            </w:r>
          </w:p>
        </w:tc>
        <w:tc>
          <w:tcPr>
            <w:tcW w:w="3117" w:type="dxa"/>
            <w:shd w:val="clear" w:color="auto" w:fill="0070C0"/>
          </w:tcPr>
          <w:p w14:paraId="5E6B76D0" w14:textId="275BDA0E" w:rsidR="00234CF6" w:rsidRPr="00C80F8E" w:rsidRDefault="004567A7" w:rsidP="00234CF6">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17588A">
              <w:rPr>
                <w:rFonts w:ascii="Abadi" w:hAnsi="Abadi" w:cstheme="minorHAnsi"/>
                <w:b/>
                <w:bCs/>
                <w:color w:val="FFFFFF" w:themeColor="background1"/>
                <w:sz w:val="20"/>
                <w:szCs w:val="20"/>
                <w:lang w:val="es-ES_tradnl"/>
              </w:rPr>
              <w:t>4</w:t>
            </w:r>
          </w:p>
        </w:tc>
      </w:tr>
      <w:tr w:rsidR="00234CF6" w:rsidRPr="00C80F8E" w14:paraId="73A8D5DF" w14:textId="77777777" w:rsidTr="00234CF6">
        <w:tc>
          <w:tcPr>
            <w:tcW w:w="3116" w:type="dxa"/>
          </w:tcPr>
          <w:p w14:paraId="06DCB424" w14:textId="77777777" w:rsidR="00234CF6" w:rsidRPr="00C80F8E" w:rsidRDefault="00121549" w:rsidP="00CD3724">
            <w:pPr>
              <w:jc w:val="center"/>
              <w:rPr>
                <w:rFonts w:ascii="Abadi" w:hAnsi="Abadi" w:cstheme="minorHAnsi"/>
                <w:sz w:val="20"/>
                <w:szCs w:val="20"/>
                <w:lang w:val="es-ES_tradnl"/>
              </w:rPr>
            </w:pPr>
            <w:r w:rsidRPr="00C80F8E">
              <w:rPr>
                <w:rFonts w:ascii="Abadi" w:hAnsi="Abadi" w:cstheme="minorHAnsi"/>
                <w:sz w:val="20"/>
                <w:szCs w:val="20"/>
                <w:lang w:val="es-ES_tradnl"/>
              </w:rPr>
              <w:t>US$</w:t>
            </w:r>
          </w:p>
        </w:tc>
        <w:tc>
          <w:tcPr>
            <w:tcW w:w="3117" w:type="dxa"/>
          </w:tcPr>
          <w:p w14:paraId="5BF78D56" w14:textId="2E3EBBBC" w:rsidR="00234CF6" w:rsidRPr="00C80F8E" w:rsidRDefault="000D5497" w:rsidP="00E45491">
            <w:pPr>
              <w:jc w:val="center"/>
              <w:rPr>
                <w:rFonts w:ascii="Abadi" w:hAnsi="Abadi" w:cstheme="minorHAnsi"/>
                <w:sz w:val="20"/>
                <w:szCs w:val="20"/>
                <w:lang w:val="es-ES_tradnl"/>
              </w:rPr>
            </w:pPr>
            <w:r w:rsidRPr="00C80F8E">
              <w:rPr>
                <w:rFonts w:ascii="Abadi" w:hAnsi="Abadi" w:cstheme="minorHAnsi"/>
                <w:sz w:val="20"/>
                <w:szCs w:val="20"/>
                <w:lang w:val="es-ES_tradnl"/>
              </w:rPr>
              <w:t>RD$/DOP$</w:t>
            </w:r>
            <w:r w:rsidR="00797026" w:rsidRPr="00C80F8E">
              <w:rPr>
                <w:rFonts w:ascii="Abadi" w:hAnsi="Abadi" w:cstheme="minorHAnsi"/>
                <w:sz w:val="20"/>
                <w:szCs w:val="20"/>
                <w:lang w:val="es-ES_tradnl"/>
              </w:rPr>
              <w:t>$</w:t>
            </w:r>
            <w:r w:rsidR="00A1371F" w:rsidRPr="00C80F8E">
              <w:rPr>
                <w:rFonts w:ascii="Abadi" w:hAnsi="Abadi" w:cstheme="minorHAnsi"/>
                <w:sz w:val="20"/>
                <w:szCs w:val="20"/>
                <w:lang w:val="es-ES_tradnl"/>
              </w:rPr>
              <w:t>6</w:t>
            </w:r>
            <w:r w:rsidR="0017588A">
              <w:rPr>
                <w:rFonts w:ascii="Abadi" w:hAnsi="Abadi" w:cstheme="minorHAnsi"/>
                <w:sz w:val="20"/>
                <w:szCs w:val="20"/>
                <w:lang w:val="es-ES_tradnl"/>
              </w:rPr>
              <w:t>0.08</w:t>
            </w:r>
          </w:p>
        </w:tc>
        <w:tc>
          <w:tcPr>
            <w:tcW w:w="3117" w:type="dxa"/>
          </w:tcPr>
          <w:p w14:paraId="42F6084A" w14:textId="5562297F" w:rsidR="00234CF6" w:rsidRPr="00C80F8E" w:rsidRDefault="000D5497" w:rsidP="00E45491">
            <w:pPr>
              <w:jc w:val="center"/>
              <w:rPr>
                <w:rFonts w:ascii="Abadi" w:hAnsi="Abadi" w:cstheme="minorHAnsi"/>
                <w:sz w:val="20"/>
                <w:szCs w:val="20"/>
                <w:lang w:val="es-ES_tradnl"/>
              </w:rPr>
            </w:pPr>
            <w:r w:rsidRPr="00C80F8E">
              <w:rPr>
                <w:rFonts w:ascii="Abadi" w:hAnsi="Abadi" w:cstheme="minorHAnsi"/>
                <w:sz w:val="20"/>
                <w:szCs w:val="20"/>
                <w:lang w:val="es-ES_tradnl"/>
              </w:rPr>
              <w:t>RD$/DOP$</w:t>
            </w:r>
            <w:r w:rsidR="00797026" w:rsidRPr="00C80F8E">
              <w:rPr>
                <w:rFonts w:ascii="Abadi" w:hAnsi="Abadi" w:cstheme="minorHAnsi"/>
                <w:sz w:val="20"/>
                <w:szCs w:val="20"/>
                <w:lang w:val="es-ES_tradnl"/>
              </w:rPr>
              <w:t>$</w:t>
            </w:r>
            <w:r w:rsidR="003D10B4" w:rsidRPr="00C80F8E">
              <w:rPr>
                <w:rFonts w:ascii="Abadi" w:hAnsi="Abadi" w:cstheme="minorHAnsi"/>
                <w:sz w:val="20"/>
                <w:szCs w:val="20"/>
                <w:lang w:val="es-ES_tradnl"/>
              </w:rPr>
              <w:t>5</w:t>
            </w:r>
            <w:r w:rsidR="0017588A">
              <w:rPr>
                <w:rFonts w:ascii="Abadi" w:hAnsi="Abadi" w:cstheme="minorHAnsi"/>
                <w:sz w:val="20"/>
                <w:szCs w:val="20"/>
                <w:lang w:val="es-ES_tradnl"/>
              </w:rPr>
              <w:t>9.15</w:t>
            </w:r>
          </w:p>
        </w:tc>
      </w:tr>
    </w:tbl>
    <w:p w14:paraId="1D642AEE" w14:textId="77777777" w:rsidR="00295E35" w:rsidRPr="00C80F8E" w:rsidRDefault="00D93789" w:rsidP="00295E35">
      <w:pPr>
        <w:pStyle w:val="Prrafodelista"/>
        <w:jc w:val="both"/>
        <w:rPr>
          <w:rFonts w:ascii="Abadi" w:hAnsi="Abadi" w:cstheme="minorHAnsi"/>
          <w:b/>
          <w:sz w:val="20"/>
          <w:szCs w:val="20"/>
          <w:lang w:val="es-ES_tradnl"/>
        </w:rPr>
      </w:pPr>
      <w:r w:rsidRPr="00C80F8E">
        <w:rPr>
          <w:rFonts w:ascii="Abadi" w:hAnsi="Abadi" w:cstheme="minorHAnsi"/>
          <w:b/>
          <w:sz w:val="20"/>
          <w:szCs w:val="20"/>
          <w:lang w:val="es-ES_tradnl"/>
        </w:rPr>
        <w:t xml:space="preserve"> </w:t>
      </w:r>
    </w:p>
    <w:p w14:paraId="4AD76094" w14:textId="6DEFA39A" w:rsidR="00D93789" w:rsidRPr="00C80F8E" w:rsidRDefault="00D93789" w:rsidP="00A7606E">
      <w:pPr>
        <w:pStyle w:val="Prrafodelista"/>
        <w:numPr>
          <w:ilvl w:val="0"/>
          <w:numId w:val="2"/>
        </w:numPr>
        <w:jc w:val="both"/>
        <w:rPr>
          <w:rFonts w:ascii="Abadi" w:hAnsi="Abadi" w:cstheme="minorHAnsi"/>
          <w:b/>
          <w:sz w:val="20"/>
          <w:szCs w:val="20"/>
          <w:lang w:val="es-ES_tradnl"/>
        </w:rPr>
      </w:pPr>
      <w:r w:rsidRPr="00C80F8E">
        <w:rPr>
          <w:rFonts w:ascii="Abadi" w:hAnsi="Abadi" w:cstheme="minorHAnsi"/>
          <w:b/>
          <w:sz w:val="20"/>
          <w:szCs w:val="20"/>
          <w:lang w:val="es-ES_tradnl"/>
        </w:rPr>
        <w:t>Uso de estimados y Juicios</w:t>
      </w:r>
    </w:p>
    <w:p w14:paraId="43A0EC53" w14:textId="0D0E8E1E" w:rsidR="00D93789" w:rsidRPr="00C80F8E" w:rsidRDefault="00D93789" w:rsidP="001E35D9">
      <w:pPr>
        <w:jc w:val="both"/>
        <w:rPr>
          <w:rFonts w:ascii="Abadi" w:hAnsi="Abadi" w:cstheme="minorHAnsi"/>
          <w:sz w:val="20"/>
          <w:szCs w:val="20"/>
          <w:lang w:val="es-ES_tradnl"/>
        </w:rPr>
      </w:pPr>
      <w:r w:rsidRPr="00C80F8E">
        <w:rPr>
          <w:rFonts w:ascii="Abadi" w:hAnsi="Abadi" w:cstheme="minorHAnsi"/>
          <w:sz w:val="20"/>
          <w:szCs w:val="20"/>
          <w:lang w:val="es-ES_tradnl"/>
        </w:rPr>
        <w:t xml:space="preserve">La preparación de los Estados Financieros de confirmada con las </w:t>
      </w:r>
      <w:r w:rsidR="008A78EA" w:rsidRPr="00C80F8E">
        <w:rPr>
          <w:rFonts w:ascii="Abadi" w:hAnsi="Abadi" w:cstheme="minorHAnsi"/>
          <w:sz w:val="20"/>
          <w:szCs w:val="20"/>
          <w:lang w:val="es-ES_tradnl"/>
        </w:rPr>
        <w:t>NICSP</w:t>
      </w:r>
      <w:r w:rsidRPr="00C80F8E">
        <w:rPr>
          <w:rFonts w:ascii="Abadi" w:hAnsi="Abadi" w:cstheme="minorHAnsi"/>
          <w:sz w:val="20"/>
          <w:szCs w:val="20"/>
          <w:lang w:val="es-ES_tradnl"/>
        </w:rPr>
        <w:t xml:space="preserve"> requiere que la administración realice juicios</w:t>
      </w:r>
      <w:r w:rsidR="00295E35" w:rsidRPr="00C80F8E">
        <w:rPr>
          <w:rFonts w:ascii="Abadi" w:hAnsi="Abadi" w:cstheme="minorHAnsi"/>
          <w:sz w:val="20"/>
          <w:szCs w:val="20"/>
          <w:lang w:val="es-ES_tradnl"/>
        </w:rPr>
        <w:t>,</w:t>
      </w:r>
      <w:r w:rsidRPr="00C80F8E">
        <w:rPr>
          <w:rFonts w:ascii="Abadi" w:hAnsi="Abadi" w:cstheme="minorHAnsi"/>
          <w:sz w:val="20"/>
          <w:szCs w:val="20"/>
          <w:lang w:val="es-ES_tradnl"/>
        </w:rPr>
        <w:t xml:space="preserve"> estimaciones y supuestos que afectan la aplicación de las Políticas Contable y los montos de activos, pasivos, ingresos y gastos reportados. </w:t>
      </w:r>
      <w:r w:rsidR="00295E35"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Los resultados reales pueden diferir de estas estimaciones.</w:t>
      </w:r>
    </w:p>
    <w:p w14:paraId="0F970ED6" w14:textId="77777777" w:rsidR="00D93789" w:rsidRPr="00C80F8E" w:rsidRDefault="00D93789" w:rsidP="001E35D9">
      <w:pPr>
        <w:jc w:val="both"/>
        <w:rPr>
          <w:rFonts w:ascii="Abadi" w:hAnsi="Abadi" w:cstheme="minorHAnsi"/>
          <w:sz w:val="20"/>
          <w:szCs w:val="20"/>
          <w:lang w:val="es-ES_tradnl"/>
        </w:rPr>
      </w:pPr>
      <w:r w:rsidRPr="00C80F8E">
        <w:rPr>
          <w:rFonts w:ascii="Abadi" w:hAnsi="Abadi" w:cstheme="minorHAnsi"/>
          <w:sz w:val="20"/>
          <w:szCs w:val="20"/>
          <w:lang w:val="es-ES_tradnl"/>
        </w:rPr>
        <w:t>Las estimaciones y supuestos relevantes son revisados regularmente, las cuales son reconocidas prospectivamente.</w:t>
      </w:r>
    </w:p>
    <w:p w14:paraId="3120E3B0" w14:textId="58917AAB" w:rsidR="00D93789" w:rsidRPr="00C80F8E" w:rsidRDefault="00295E35" w:rsidP="00295E35">
      <w:pPr>
        <w:ind w:left="426"/>
        <w:jc w:val="both"/>
        <w:rPr>
          <w:rFonts w:ascii="Abadi" w:hAnsi="Abadi" w:cstheme="minorHAnsi"/>
          <w:b/>
          <w:sz w:val="20"/>
          <w:szCs w:val="20"/>
          <w:lang w:val="es-ES_tradnl"/>
        </w:rPr>
      </w:pPr>
      <w:r w:rsidRPr="00C80F8E">
        <w:rPr>
          <w:rFonts w:ascii="Abadi" w:hAnsi="Abadi" w:cstheme="minorHAnsi"/>
          <w:b/>
          <w:sz w:val="20"/>
          <w:szCs w:val="20"/>
          <w:lang w:val="es-ES_tradnl"/>
        </w:rPr>
        <w:t xml:space="preserve">4.1 </w:t>
      </w:r>
      <w:r w:rsidR="00D93789" w:rsidRPr="00C80F8E">
        <w:rPr>
          <w:rFonts w:ascii="Abadi" w:hAnsi="Abadi" w:cstheme="minorHAnsi"/>
          <w:b/>
          <w:sz w:val="20"/>
          <w:szCs w:val="20"/>
          <w:lang w:val="es-ES_tradnl"/>
        </w:rPr>
        <w:t>Juicios</w:t>
      </w:r>
    </w:p>
    <w:p w14:paraId="55CB9667" w14:textId="77777777" w:rsidR="00D93789" w:rsidRPr="00C80F8E" w:rsidRDefault="00D93789" w:rsidP="001E35D9">
      <w:pPr>
        <w:jc w:val="both"/>
        <w:rPr>
          <w:rFonts w:ascii="Abadi" w:hAnsi="Abadi" w:cstheme="minorHAnsi"/>
          <w:sz w:val="20"/>
          <w:szCs w:val="20"/>
          <w:lang w:val="es-ES_tradnl"/>
        </w:rPr>
      </w:pPr>
      <w:r w:rsidRPr="00C80F8E">
        <w:rPr>
          <w:rFonts w:ascii="Abadi" w:hAnsi="Abadi" w:cstheme="minorHAnsi"/>
          <w:sz w:val="20"/>
          <w:szCs w:val="20"/>
          <w:lang w:val="es-ES_tradnl"/>
        </w:rPr>
        <w:t xml:space="preserve">La información sobre juicios realizados en la aplicación de </w:t>
      </w:r>
      <w:r w:rsidR="001C6EC0" w:rsidRPr="00C80F8E">
        <w:rPr>
          <w:rFonts w:ascii="Abadi" w:hAnsi="Abadi" w:cstheme="minorHAnsi"/>
          <w:sz w:val="20"/>
          <w:szCs w:val="20"/>
          <w:lang w:val="es-ES_tradnl"/>
        </w:rPr>
        <w:t>Políticas</w:t>
      </w:r>
      <w:r w:rsidRPr="00C80F8E">
        <w:rPr>
          <w:rFonts w:ascii="Abadi" w:hAnsi="Abadi" w:cstheme="minorHAnsi"/>
          <w:sz w:val="20"/>
          <w:szCs w:val="20"/>
          <w:lang w:val="es-ES_tradnl"/>
        </w:rPr>
        <w:t xml:space="preserve"> Contables que tienen el efecto </w:t>
      </w:r>
      <w:r w:rsidR="001C6EC0" w:rsidRPr="00C80F8E">
        <w:rPr>
          <w:rFonts w:ascii="Abadi" w:hAnsi="Abadi" w:cstheme="minorHAnsi"/>
          <w:sz w:val="20"/>
          <w:szCs w:val="20"/>
          <w:lang w:val="es-ES_tradnl"/>
        </w:rPr>
        <w:t>más importante</w:t>
      </w:r>
      <w:r w:rsidRPr="00C80F8E">
        <w:rPr>
          <w:rFonts w:ascii="Abadi" w:hAnsi="Abadi" w:cstheme="minorHAnsi"/>
          <w:sz w:val="20"/>
          <w:szCs w:val="20"/>
          <w:lang w:val="es-ES_tradnl"/>
        </w:rPr>
        <w:t xml:space="preserve"> sobre los montos reconocidos en el Estado de Rendimientos Financiero se describe en la Nota referente a gastos generales y administrativos (alquileres); se determina si un acuerdo contiene un arrendamiento </w:t>
      </w:r>
      <w:r w:rsidR="001C6EC0" w:rsidRPr="00C80F8E">
        <w:rPr>
          <w:rFonts w:ascii="Abadi" w:hAnsi="Abadi" w:cstheme="minorHAnsi"/>
          <w:sz w:val="20"/>
          <w:szCs w:val="20"/>
          <w:lang w:val="es-ES_tradnl"/>
        </w:rPr>
        <w:t>y su clasificación.</w:t>
      </w:r>
    </w:p>
    <w:p w14:paraId="7E55C17C" w14:textId="5C9EE8D5" w:rsidR="002B1773" w:rsidRPr="00C80F8E" w:rsidRDefault="00295E35" w:rsidP="00295E35">
      <w:pPr>
        <w:ind w:left="426"/>
        <w:jc w:val="both"/>
        <w:rPr>
          <w:rFonts w:ascii="Abadi" w:hAnsi="Abadi" w:cstheme="minorHAnsi"/>
          <w:b/>
          <w:sz w:val="20"/>
          <w:szCs w:val="20"/>
          <w:lang w:val="es-ES_tradnl"/>
        </w:rPr>
      </w:pPr>
      <w:r w:rsidRPr="00C80F8E">
        <w:rPr>
          <w:rFonts w:ascii="Abadi" w:hAnsi="Abadi" w:cstheme="minorHAnsi"/>
          <w:b/>
          <w:sz w:val="20"/>
          <w:szCs w:val="20"/>
          <w:lang w:val="es-ES_tradnl"/>
        </w:rPr>
        <w:t xml:space="preserve">4.2 </w:t>
      </w:r>
      <w:r w:rsidR="002B1773" w:rsidRPr="00C80F8E">
        <w:rPr>
          <w:rFonts w:ascii="Abadi" w:hAnsi="Abadi" w:cstheme="minorHAnsi"/>
          <w:b/>
          <w:sz w:val="20"/>
          <w:szCs w:val="20"/>
          <w:lang w:val="es-ES_tradnl"/>
        </w:rPr>
        <w:t>Supuesto e incertidumbre en las estimaciones</w:t>
      </w:r>
    </w:p>
    <w:p w14:paraId="55938F38" w14:textId="3677B66E" w:rsidR="00782698" w:rsidRPr="00C80F8E" w:rsidRDefault="002B1773" w:rsidP="001E35D9">
      <w:pPr>
        <w:jc w:val="both"/>
        <w:rPr>
          <w:rFonts w:ascii="Abadi" w:hAnsi="Abadi" w:cstheme="minorHAnsi"/>
          <w:sz w:val="20"/>
          <w:szCs w:val="20"/>
          <w:lang w:val="es-ES_tradnl"/>
        </w:rPr>
      </w:pPr>
      <w:r w:rsidRPr="00C80F8E">
        <w:rPr>
          <w:rFonts w:ascii="Abadi" w:hAnsi="Abadi" w:cstheme="minorHAnsi"/>
          <w:sz w:val="20"/>
          <w:szCs w:val="20"/>
          <w:lang w:val="es-ES_tradnl"/>
        </w:rPr>
        <w:t>La información sobre los supuestos e incertidumbre de estimación</w:t>
      </w:r>
      <w:r w:rsidR="00A17370" w:rsidRPr="00C80F8E">
        <w:rPr>
          <w:rFonts w:ascii="Abadi" w:hAnsi="Abadi" w:cstheme="minorHAnsi"/>
          <w:sz w:val="20"/>
          <w:szCs w:val="20"/>
          <w:lang w:val="es-ES_tradnl"/>
        </w:rPr>
        <w:t>,</w:t>
      </w:r>
      <w:r w:rsidRPr="00C80F8E">
        <w:rPr>
          <w:rFonts w:ascii="Abadi" w:hAnsi="Abadi" w:cstheme="minorHAnsi"/>
          <w:sz w:val="20"/>
          <w:szCs w:val="20"/>
          <w:lang w:val="es-ES_tradnl"/>
        </w:rPr>
        <w:t xml:space="preserve"> que tiene un riesgo significativo de resultar en un ajuste material en los </w:t>
      </w:r>
      <w:r w:rsidR="00295E35" w:rsidRPr="00C80F8E">
        <w:rPr>
          <w:rFonts w:ascii="Abadi" w:hAnsi="Abadi" w:cstheme="minorHAnsi"/>
          <w:sz w:val="20"/>
          <w:szCs w:val="20"/>
          <w:lang w:val="es-ES_tradnl"/>
        </w:rPr>
        <w:t>periodos</w:t>
      </w:r>
      <w:r w:rsidRPr="00C80F8E">
        <w:rPr>
          <w:rFonts w:ascii="Abadi" w:hAnsi="Abadi" w:cstheme="minorHAnsi"/>
          <w:sz w:val="20"/>
          <w:szCs w:val="20"/>
          <w:lang w:val="es-ES_tradnl"/>
        </w:rPr>
        <w:t xml:space="preserve"> terminados el 3</w:t>
      </w:r>
      <w:r w:rsidR="00641CA7" w:rsidRPr="00C80F8E">
        <w:rPr>
          <w:rFonts w:ascii="Abadi" w:hAnsi="Abadi" w:cstheme="minorHAnsi"/>
          <w:sz w:val="20"/>
          <w:szCs w:val="20"/>
          <w:lang w:val="es-ES_tradnl"/>
        </w:rPr>
        <w:t>0</w:t>
      </w:r>
      <w:r w:rsidRPr="00C80F8E">
        <w:rPr>
          <w:rFonts w:ascii="Abadi" w:hAnsi="Abadi" w:cstheme="minorHAnsi"/>
          <w:sz w:val="20"/>
          <w:szCs w:val="20"/>
          <w:lang w:val="es-ES_tradnl"/>
        </w:rPr>
        <w:t xml:space="preserve"> de </w:t>
      </w:r>
      <w:r w:rsidR="00204E23" w:rsidRPr="00C80F8E">
        <w:rPr>
          <w:rFonts w:ascii="Abadi" w:hAnsi="Abadi" w:cstheme="minorHAnsi"/>
          <w:sz w:val="20"/>
          <w:szCs w:val="20"/>
          <w:lang w:val="es-ES_tradnl"/>
        </w:rPr>
        <w:t>junio</w:t>
      </w:r>
      <w:r w:rsidRPr="00C80F8E">
        <w:rPr>
          <w:rFonts w:ascii="Abadi" w:hAnsi="Abadi" w:cstheme="minorHAnsi"/>
          <w:sz w:val="20"/>
          <w:szCs w:val="20"/>
          <w:lang w:val="es-ES_tradnl"/>
        </w:rPr>
        <w:t xml:space="preserve"> de </w:t>
      </w:r>
      <w:r w:rsidR="00EA10FC" w:rsidRPr="00C80F8E">
        <w:rPr>
          <w:rFonts w:ascii="Abadi" w:hAnsi="Abadi" w:cstheme="minorHAnsi"/>
          <w:sz w:val="20"/>
          <w:szCs w:val="20"/>
          <w:lang w:val="es-ES_tradnl"/>
        </w:rPr>
        <w:t>202</w:t>
      </w:r>
      <w:r w:rsidR="00204E23" w:rsidRPr="00C80F8E">
        <w:rPr>
          <w:rFonts w:ascii="Abadi" w:hAnsi="Abadi" w:cstheme="minorHAnsi"/>
          <w:sz w:val="20"/>
          <w:szCs w:val="20"/>
          <w:lang w:val="es-ES_tradnl"/>
        </w:rPr>
        <w:t>5</w:t>
      </w:r>
      <w:r w:rsidRPr="00C80F8E">
        <w:rPr>
          <w:rFonts w:ascii="Abadi" w:hAnsi="Abadi" w:cstheme="minorHAnsi"/>
          <w:sz w:val="20"/>
          <w:szCs w:val="20"/>
          <w:lang w:val="es-ES_tradnl"/>
        </w:rPr>
        <w:t xml:space="preserve"> y </w:t>
      </w:r>
      <w:r w:rsidR="004567A7" w:rsidRPr="00C80F8E">
        <w:rPr>
          <w:rFonts w:ascii="Abadi" w:hAnsi="Abadi" w:cstheme="minorHAnsi"/>
          <w:sz w:val="20"/>
          <w:szCs w:val="20"/>
          <w:lang w:val="es-ES_tradnl"/>
        </w:rPr>
        <w:t>202</w:t>
      </w:r>
      <w:r w:rsidR="00204E23" w:rsidRPr="00C80F8E">
        <w:rPr>
          <w:rFonts w:ascii="Abadi" w:hAnsi="Abadi" w:cstheme="minorHAnsi"/>
          <w:sz w:val="20"/>
          <w:szCs w:val="20"/>
          <w:lang w:val="es-ES_tradnl"/>
        </w:rPr>
        <w:t>4</w:t>
      </w:r>
      <w:r w:rsidR="00A17370" w:rsidRPr="00C80F8E">
        <w:rPr>
          <w:rFonts w:ascii="Abadi" w:hAnsi="Abadi" w:cstheme="minorHAnsi"/>
          <w:sz w:val="20"/>
          <w:szCs w:val="20"/>
          <w:lang w:val="es-ES_tradnl"/>
        </w:rPr>
        <w:t>,</w:t>
      </w:r>
      <w:r w:rsidRPr="00C80F8E">
        <w:rPr>
          <w:rFonts w:ascii="Abadi" w:hAnsi="Abadi" w:cstheme="minorHAnsi"/>
          <w:sz w:val="20"/>
          <w:szCs w:val="20"/>
          <w:lang w:val="es-ES_tradnl"/>
        </w:rPr>
        <w:t xml:space="preserve"> se incluye en la Nota referente a compromisos y contingencias; reconocimiento y medición de contingencias; supuestos claves relacionados con la probabilidad y magnitud de una salida de recursos económicos.</w:t>
      </w:r>
    </w:p>
    <w:p w14:paraId="2459E031" w14:textId="16B26B54" w:rsidR="002B1773" w:rsidRPr="00C80F8E" w:rsidRDefault="00295E35" w:rsidP="00295E35">
      <w:pPr>
        <w:ind w:left="426"/>
        <w:jc w:val="both"/>
        <w:rPr>
          <w:rFonts w:ascii="Abadi" w:hAnsi="Abadi" w:cstheme="minorHAnsi"/>
          <w:b/>
          <w:sz w:val="20"/>
          <w:szCs w:val="20"/>
          <w:lang w:val="es-ES_tradnl"/>
        </w:rPr>
      </w:pPr>
      <w:r w:rsidRPr="00C80F8E">
        <w:rPr>
          <w:rFonts w:ascii="Abadi" w:hAnsi="Abadi" w:cstheme="minorHAnsi"/>
          <w:b/>
          <w:sz w:val="20"/>
          <w:szCs w:val="20"/>
          <w:lang w:val="es-ES_tradnl"/>
        </w:rPr>
        <w:t xml:space="preserve">4.3 </w:t>
      </w:r>
      <w:r w:rsidR="002B1773" w:rsidRPr="00C80F8E">
        <w:rPr>
          <w:rFonts w:ascii="Abadi" w:hAnsi="Abadi" w:cstheme="minorHAnsi"/>
          <w:b/>
          <w:sz w:val="20"/>
          <w:szCs w:val="20"/>
          <w:lang w:val="es-ES_tradnl"/>
        </w:rPr>
        <w:t>Medición de los valores razonables.</w:t>
      </w:r>
    </w:p>
    <w:p w14:paraId="26FA7026" w14:textId="77777777" w:rsidR="002B1773" w:rsidRPr="00C80F8E" w:rsidRDefault="002B1773" w:rsidP="001E35D9">
      <w:pPr>
        <w:jc w:val="both"/>
        <w:rPr>
          <w:rFonts w:ascii="Abadi" w:hAnsi="Abadi" w:cstheme="minorHAnsi"/>
          <w:sz w:val="20"/>
          <w:szCs w:val="20"/>
          <w:lang w:val="es-ES_tradnl"/>
        </w:rPr>
      </w:pPr>
      <w:r w:rsidRPr="00C80F8E">
        <w:rPr>
          <w:rFonts w:ascii="Abadi" w:hAnsi="Abadi" w:cstheme="minorHAnsi"/>
          <w:sz w:val="20"/>
          <w:szCs w:val="20"/>
          <w:lang w:val="es-ES_tradnl"/>
        </w:rPr>
        <w:t>La entidad cuenta con un marco de control establecido en relación con el cálculo de los valores razonables y tiene la responsabilidad general por la supervisión de todas las mediciones significativas d</w:t>
      </w:r>
      <w:r w:rsidR="007049AA" w:rsidRPr="00C80F8E">
        <w:rPr>
          <w:rFonts w:ascii="Abadi" w:hAnsi="Abadi" w:cstheme="minorHAnsi"/>
          <w:sz w:val="20"/>
          <w:szCs w:val="20"/>
          <w:lang w:val="es-ES_tradnl"/>
        </w:rPr>
        <w:t>e este, incluyendo los de Nivel</w:t>
      </w:r>
      <w:r w:rsidRPr="00C80F8E">
        <w:rPr>
          <w:rFonts w:ascii="Abadi" w:hAnsi="Abadi" w:cstheme="minorHAnsi"/>
          <w:sz w:val="20"/>
          <w:szCs w:val="20"/>
          <w:lang w:val="es-ES_tradnl"/>
        </w:rPr>
        <w:t xml:space="preserve"> 3.</w:t>
      </w:r>
    </w:p>
    <w:p w14:paraId="70AD2C0E" w14:textId="0023E26B" w:rsidR="00F55E15" w:rsidRPr="00C80F8E" w:rsidRDefault="00F55E15" w:rsidP="001E35D9">
      <w:pPr>
        <w:jc w:val="both"/>
        <w:rPr>
          <w:rFonts w:ascii="Abadi" w:hAnsi="Abadi" w:cstheme="minorHAnsi"/>
          <w:sz w:val="20"/>
          <w:szCs w:val="20"/>
          <w:lang w:val="es-ES_tradnl"/>
        </w:rPr>
      </w:pPr>
      <w:r w:rsidRPr="00C80F8E">
        <w:rPr>
          <w:rFonts w:ascii="Abadi" w:hAnsi="Abadi" w:cstheme="minorHAnsi"/>
          <w:sz w:val="20"/>
          <w:szCs w:val="20"/>
          <w:lang w:val="es-ES_tradnl"/>
        </w:rPr>
        <w:t>Cuando se mide el valor razonable d</w:t>
      </w:r>
      <w:r w:rsidR="005B7D2A" w:rsidRPr="00C80F8E">
        <w:rPr>
          <w:rFonts w:ascii="Abadi" w:hAnsi="Abadi" w:cstheme="minorHAnsi"/>
          <w:sz w:val="20"/>
          <w:szCs w:val="20"/>
          <w:lang w:val="es-ES_tradnl"/>
        </w:rPr>
        <w:t xml:space="preserve">e un activo o pasivo, </w:t>
      </w:r>
      <w:r w:rsidR="001D6035" w:rsidRPr="00C80F8E">
        <w:rPr>
          <w:rFonts w:ascii="Abadi" w:hAnsi="Abadi" w:cstheme="minorHAnsi"/>
          <w:sz w:val="20"/>
          <w:szCs w:val="20"/>
          <w:lang w:val="es-ES_tradnl"/>
        </w:rPr>
        <w:t>La Superintendencia De Pensiones (SIPEN)</w:t>
      </w:r>
      <w:r w:rsidR="00BB3205"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utiliza siempre que sea posible, precios cotizados en un mercado activo.</w:t>
      </w:r>
    </w:p>
    <w:p w14:paraId="3E801583" w14:textId="57DA1618" w:rsidR="00F55E15" w:rsidRPr="00C80F8E" w:rsidRDefault="00F55E15" w:rsidP="001E35D9">
      <w:pPr>
        <w:jc w:val="both"/>
        <w:rPr>
          <w:rFonts w:ascii="Abadi" w:hAnsi="Abadi" w:cstheme="minorHAnsi"/>
          <w:sz w:val="20"/>
          <w:szCs w:val="20"/>
          <w:lang w:val="es-ES_tradnl"/>
        </w:rPr>
      </w:pPr>
      <w:r w:rsidRPr="00C80F8E">
        <w:rPr>
          <w:rFonts w:ascii="Abadi" w:hAnsi="Abadi" w:cstheme="minorHAnsi"/>
          <w:sz w:val="20"/>
          <w:szCs w:val="20"/>
          <w:lang w:val="es-ES_tradnl"/>
        </w:rPr>
        <w:t xml:space="preserve">Si el mercado para un activo o pasivo no es activo, la entidad establecerá el valor razonable utilizando una técnica de valoración. </w:t>
      </w:r>
      <w:r w:rsidR="00295E35"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Con ésta se busca establecer cuál será el precio de una transacción realizada a la fecha de medición.</w:t>
      </w:r>
    </w:p>
    <w:p w14:paraId="52C62951" w14:textId="34C12AA3" w:rsidR="00B63F7D" w:rsidRPr="00C80F8E" w:rsidRDefault="00C85FA2" w:rsidP="00C85FA2">
      <w:pPr>
        <w:ind w:left="426"/>
        <w:jc w:val="both"/>
        <w:rPr>
          <w:rFonts w:ascii="Abadi" w:hAnsi="Abadi" w:cstheme="minorHAnsi"/>
          <w:b/>
          <w:bCs/>
          <w:sz w:val="20"/>
          <w:szCs w:val="20"/>
          <w:lang w:val="es-ES_tradnl"/>
        </w:rPr>
      </w:pPr>
      <w:r w:rsidRPr="00C80F8E">
        <w:rPr>
          <w:rFonts w:ascii="Abadi" w:hAnsi="Abadi" w:cstheme="minorHAnsi"/>
          <w:b/>
          <w:bCs/>
          <w:sz w:val="20"/>
          <w:szCs w:val="20"/>
          <w:lang w:val="es-ES_tradnl"/>
        </w:rPr>
        <w:t xml:space="preserve">4.3.1 </w:t>
      </w:r>
      <w:r w:rsidR="00B63F7D" w:rsidRPr="00C80F8E">
        <w:rPr>
          <w:rFonts w:ascii="Abadi" w:hAnsi="Abadi" w:cstheme="minorHAnsi"/>
          <w:b/>
          <w:bCs/>
          <w:sz w:val="20"/>
          <w:szCs w:val="20"/>
          <w:lang w:val="es-ES_tradnl"/>
        </w:rPr>
        <w:t>Los valores se clasifican en niveles distintos dentro de una jerarquía como sigue:</w:t>
      </w:r>
    </w:p>
    <w:p w14:paraId="172BE364" w14:textId="77777777" w:rsidR="00B63F7D" w:rsidRPr="00C80F8E" w:rsidRDefault="00B63F7D" w:rsidP="001E35D9">
      <w:pPr>
        <w:jc w:val="both"/>
        <w:rPr>
          <w:rFonts w:ascii="Abadi" w:hAnsi="Abadi" w:cstheme="minorHAnsi"/>
          <w:sz w:val="20"/>
          <w:szCs w:val="20"/>
          <w:lang w:val="es-ES_tradnl"/>
        </w:rPr>
      </w:pPr>
      <w:r w:rsidRPr="00C80F8E">
        <w:rPr>
          <w:rFonts w:ascii="Abadi" w:hAnsi="Abadi" w:cstheme="minorHAnsi"/>
          <w:sz w:val="20"/>
          <w:szCs w:val="20"/>
          <w:lang w:val="es-ES_tradnl"/>
        </w:rPr>
        <w:t>Nivel 1: Precios (no-ajustados) en mercados activos para activos o pasivos idénticos,</w:t>
      </w:r>
    </w:p>
    <w:p w14:paraId="09BF3A70" w14:textId="77777777" w:rsidR="00B63F7D" w:rsidRPr="00C80F8E" w:rsidRDefault="00B63F7D" w:rsidP="001E35D9">
      <w:pPr>
        <w:jc w:val="both"/>
        <w:rPr>
          <w:rFonts w:ascii="Abadi" w:hAnsi="Abadi" w:cstheme="minorHAnsi"/>
          <w:sz w:val="20"/>
          <w:szCs w:val="20"/>
          <w:lang w:val="es-ES_tradnl"/>
        </w:rPr>
      </w:pPr>
      <w:r w:rsidRPr="00C80F8E">
        <w:rPr>
          <w:rFonts w:ascii="Abadi" w:hAnsi="Abadi" w:cstheme="minorHAnsi"/>
          <w:sz w:val="20"/>
          <w:szCs w:val="20"/>
          <w:lang w:val="es-ES_tradnl"/>
        </w:rPr>
        <w:t>Nivel 2: Datos diferentes de los precios cotizados incluidos en el Nivel 1 que sean observados para el activo o pasivo, ya sea directa (precios) o indirectamente (derivados de los precios).</w:t>
      </w:r>
    </w:p>
    <w:p w14:paraId="08319CA1" w14:textId="77777777" w:rsidR="00B63F7D" w:rsidRPr="00C80F8E" w:rsidRDefault="00B63F7D" w:rsidP="001E35D9">
      <w:pPr>
        <w:jc w:val="both"/>
        <w:rPr>
          <w:rFonts w:ascii="Abadi" w:hAnsi="Abadi" w:cstheme="minorHAnsi"/>
          <w:sz w:val="20"/>
          <w:szCs w:val="20"/>
          <w:lang w:val="es-ES_tradnl"/>
        </w:rPr>
      </w:pPr>
      <w:r w:rsidRPr="00C80F8E">
        <w:rPr>
          <w:rFonts w:ascii="Abadi" w:hAnsi="Abadi" w:cstheme="minorHAnsi"/>
          <w:sz w:val="20"/>
          <w:szCs w:val="20"/>
          <w:lang w:val="es-ES_tradnl"/>
        </w:rPr>
        <w:t>Nivel 3: Datos para el activo o pasivo que no se basan en datos de mercados observables (variables no observables).</w:t>
      </w:r>
    </w:p>
    <w:p w14:paraId="725279F8" w14:textId="77777777" w:rsidR="00B63F7D" w:rsidRPr="00C80F8E" w:rsidRDefault="00B57155" w:rsidP="001E35D9">
      <w:pPr>
        <w:jc w:val="both"/>
        <w:rPr>
          <w:rFonts w:ascii="Abadi" w:hAnsi="Abadi" w:cstheme="minorHAnsi"/>
          <w:sz w:val="20"/>
          <w:szCs w:val="20"/>
          <w:lang w:val="es-ES_tradnl"/>
        </w:rPr>
      </w:pPr>
      <w:r w:rsidRPr="00C80F8E">
        <w:rPr>
          <w:rFonts w:ascii="Abadi" w:hAnsi="Abadi" w:cstheme="minorHAnsi"/>
          <w:sz w:val="20"/>
          <w:szCs w:val="20"/>
          <w:lang w:val="es-ES_tradnl"/>
        </w:rPr>
        <w:lastRenderedPageBreak/>
        <w:t xml:space="preserve">Si las variables usadas para medir el valor razonable de un activo o pasivo pueden clasificarse en niveles distintos de la jerarquía del valor </w:t>
      </w:r>
      <w:r w:rsidR="00C56DD1" w:rsidRPr="00C80F8E">
        <w:rPr>
          <w:rFonts w:ascii="Abadi" w:hAnsi="Abadi" w:cstheme="minorHAnsi"/>
          <w:sz w:val="20"/>
          <w:szCs w:val="20"/>
          <w:lang w:val="es-ES_tradnl"/>
        </w:rPr>
        <w:t>razonable</w:t>
      </w:r>
      <w:r w:rsidRPr="00C80F8E">
        <w:rPr>
          <w:rFonts w:ascii="Abadi" w:hAnsi="Abadi" w:cstheme="minorHAnsi"/>
          <w:sz w:val="20"/>
          <w:szCs w:val="20"/>
          <w:lang w:val="es-ES_tradnl"/>
        </w:rPr>
        <w:t xml:space="preserve">, entonces la medición se clasifica en su totalidad en el mismo nivel de la jerarquía </w:t>
      </w:r>
      <w:r w:rsidR="00C56DD1" w:rsidRPr="00C80F8E">
        <w:rPr>
          <w:rFonts w:ascii="Abadi" w:hAnsi="Abadi" w:cstheme="minorHAnsi"/>
          <w:sz w:val="20"/>
          <w:szCs w:val="20"/>
          <w:lang w:val="es-ES_tradnl"/>
        </w:rPr>
        <w:t>que la variable de nivel más bajo que sea significativa para la medición total.</w:t>
      </w:r>
    </w:p>
    <w:p w14:paraId="611E02BF" w14:textId="724A910D" w:rsidR="00F76EDA" w:rsidRPr="00C80F8E" w:rsidRDefault="001D6035" w:rsidP="001E35D9">
      <w:pPr>
        <w:jc w:val="both"/>
        <w:rPr>
          <w:rFonts w:ascii="Abadi" w:hAnsi="Abadi" w:cstheme="minorHAnsi"/>
          <w:sz w:val="20"/>
          <w:szCs w:val="20"/>
          <w:lang w:val="es-ES_tradnl"/>
        </w:rPr>
      </w:pPr>
      <w:r w:rsidRPr="00C80F8E">
        <w:rPr>
          <w:rFonts w:ascii="Abadi" w:hAnsi="Abadi" w:cstheme="minorHAnsi"/>
          <w:sz w:val="20"/>
          <w:szCs w:val="20"/>
          <w:lang w:val="es-ES_tradnl"/>
        </w:rPr>
        <w:t>La Superintendencia De Pensiones (SIPEN)</w:t>
      </w:r>
      <w:r w:rsidR="00A2372E" w:rsidRPr="00C80F8E">
        <w:rPr>
          <w:rFonts w:ascii="Abadi" w:hAnsi="Abadi" w:cstheme="minorHAnsi"/>
          <w:sz w:val="20"/>
          <w:szCs w:val="20"/>
          <w:lang w:val="es-ES_tradnl"/>
        </w:rPr>
        <w:t xml:space="preserve">, </w:t>
      </w:r>
      <w:r w:rsidR="00F76EDA" w:rsidRPr="00C80F8E">
        <w:rPr>
          <w:rFonts w:ascii="Abadi" w:hAnsi="Abadi" w:cstheme="minorHAnsi"/>
          <w:sz w:val="20"/>
          <w:szCs w:val="20"/>
          <w:lang w:val="es-ES_tradnl"/>
        </w:rPr>
        <w:t>reconoce las trans</w:t>
      </w:r>
      <w:r w:rsidR="00924982" w:rsidRPr="00C80F8E">
        <w:rPr>
          <w:rFonts w:ascii="Abadi" w:hAnsi="Abadi" w:cstheme="minorHAnsi"/>
          <w:sz w:val="20"/>
          <w:szCs w:val="20"/>
          <w:lang w:val="es-ES_tradnl"/>
        </w:rPr>
        <w:t>ferencias</w:t>
      </w:r>
      <w:r w:rsidR="00F76EDA" w:rsidRPr="00C80F8E">
        <w:rPr>
          <w:rFonts w:ascii="Abadi" w:hAnsi="Abadi" w:cstheme="minorHAnsi"/>
          <w:sz w:val="20"/>
          <w:szCs w:val="20"/>
          <w:lang w:val="es-ES_tradnl"/>
        </w:rPr>
        <w:t xml:space="preserve"> entre los niveles de la jerarquía del valor razonable al final del periodo sobre el que se informa durante el que ocurrió el cambio</w:t>
      </w:r>
      <w:r w:rsidR="00244574" w:rsidRPr="00C80F8E">
        <w:rPr>
          <w:rFonts w:ascii="Abadi" w:hAnsi="Abadi" w:cstheme="minorHAnsi"/>
          <w:sz w:val="20"/>
          <w:szCs w:val="20"/>
          <w:lang w:val="es-ES_tradnl"/>
        </w:rPr>
        <w:t>.</w:t>
      </w:r>
    </w:p>
    <w:p w14:paraId="575C49B4" w14:textId="77777777" w:rsidR="00244574" w:rsidRPr="00C80F8E" w:rsidRDefault="00244574" w:rsidP="00A7606E">
      <w:pPr>
        <w:pStyle w:val="Prrafodelista"/>
        <w:numPr>
          <w:ilvl w:val="0"/>
          <w:numId w:val="2"/>
        </w:num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 Base de medición </w:t>
      </w:r>
    </w:p>
    <w:p w14:paraId="0A8462F3" w14:textId="77777777" w:rsidR="006F3B26" w:rsidRPr="00C80F8E" w:rsidRDefault="002E187B" w:rsidP="001E35D9">
      <w:pPr>
        <w:jc w:val="both"/>
        <w:rPr>
          <w:rFonts w:ascii="Abadi" w:hAnsi="Abadi" w:cstheme="minorHAnsi"/>
          <w:sz w:val="20"/>
          <w:szCs w:val="20"/>
          <w:lang w:val="es-ES_tradnl"/>
        </w:rPr>
      </w:pPr>
      <w:r w:rsidRPr="00C80F8E">
        <w:rPr>
          <w:rFonts w:ascii="Abadi" w:hAnsi="Abadi" w:cstheme="minorHAnsi"/>
          <w:sz w:val="20"/>
          <w:szCs w:val="20"/>
          <w:lang w:val="es-ES_tradnl"/>
        </w:rPr>
        <w:t>Los Estados Financieros se elaboran sobre la base del costo histórico, a excepción de los terrenos y edificios los cuales son valuados mediante tasaciones realizadas por un experto externo.</w:t>
      </w:r>
    </w:p>
    <w:p w14:paraId="13D4AE9D" w14:textId="77777777" w:rsidR="00C56DD1" w:rsidRPr="00C80F8E" w:rsidRDefault="00454153" w:rsidP="00A7606E">
      <w:pPr>
        <w:pStyle w:val="Prrafodelista"/>
        <w:numPr>
          <w:ilvl w:val="0"/>
          <w:numId w:val="2"/>
        </w:num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 Resumen de Políticas Contables significativas</w:t>
      </w:r>
    </w:p>
    <w:p w14:paraId="613B8890" w14:textId="6C8934F9" w:rsidR="0001176E" w:rsidRPr="00C80F8E" w:rsidRDefault="0001176E" w:rsidP="0001176E">
      <w:pPr>
        <w:jc w:val="both"/>
        <w:rPr>
          <w:rFonts w:ascii="Abadi" w:hAnsi="Abadi" w:cstheme="minorHAnsi"/>
          <w:sz w:val="20"/>
          <w:szCs w:val="20"/>
          <w:lang w:val="es-ES_tradnl"/>
        </w:rPr>
      </w:pPr>
      <w:r w:rsidRPr="00C80F8E">
        <w:rPr>
          <w:rFonts w:ascii="Abadi" w:hAnsi="Abadi" w:cstheme="minorHAnsi"/>
          <w:sz w:val="20"/>
          <w:szCs w:val="20"/>
          <w:lang w:val="es-ES_tradnl"/>
        </w:rPr>
        <w:t>Las transacciones que afectan a las entidades económicas determinan modificaciones en el patrimonio, así como en los resultados de las operaciones.</w:t>
      </w:r>
      <w:r w:rsidR="00C85FA2"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 xml:space="preserve"> El momento en el cual se considera modificado el patrimonio y los resultados de la entidad, es con el devengamiento, además se considera consumida la apropiación y ejecutado el presupuesto.</w:t>
      </w:r>
    </w:p>
    <w:p w14:paraId="43F2D9C0" w14:textId="77777777" w:rsidR="009622EF" w:rsidRPr="00C80F8E" w:rsidRDefault="009622EF" w:rsidP="00A7606E">
      <w:pPr>
        <w:pStyle w:val="Prrafodelista"/>
        <w:numPr>
          <w:ilvl w:val="1"/>
          <w:numId w:val="2"/>
        </w:numPr>
        <w:tabs>
          <w:tab w:val="left" w:pos="851"/>
        </w:tabs>
        <w:jc w:val="both"/>
        <w:rPr>
          <w:rFonts w:ascii="Abadi" w:hAnsi="Abadi" w:cstheme="minorHAnsi"/>
          <w:b/>
          <w:sz w:val="20"/>
          <w:szCs w:val="20"/>
          <w:lang w:val="es-ES_tradnl"/>
        </w:rPr>
      </w:pPr>
      <w:r w:rsidRPr="00C80F8E">
        <w:rPr>
          <w:rFonts w:ascii="Abadi" w:hAnsi="Abadi" w:cstheme="minorHAnsi"/>
          <w:b/>
          <w:sz w:val="20"/>
          <w:szCs w:val="20"/>
          <w:lang w:val="es-ES_tradnl"/>
        </w:rPr>
        <w:t>Registro e Imputación Presupuestaria</w:t>
      </w:r>
    </w:p>
    <w:p w14:paraId="569861A2" w14:textId="0E657FDA" w:rsidR="00A12305" w:rsidRPr="00C80F8E" w:rsidRDefault="009622EF" w:rsidP="0054203B">
      <w:pPr>
        <w:jc w:val="both"/>
        <w:rPr>
          <w:rFonts w:ascii="Abadi" w:hAnsi="Abadi" w:cstheme="minorHAnsi"/>
          <w:sz w:val="20"/>
          <w:szCs w:val="20"/>
          <w:lang w:val="es-ES_tradnl"/>
        </w:rPr>
      </w:pPr>
      <w:r w:rsidRPr="00C80F8E">
        <w:rPr>
          <w:rFonts w:ascii="Abadi" w:hAnsi="Abadi" w:cstheme="minorHAnsi"/>
          <w:sz w:val="20"/>
          <w:szCs w:val="20"/>
          <w:lang w:val="es-ES_tradnl"/>
        </w:rPr>
        <w:t xml:space="preserve">El Sistema de Contabilidad Gubernamental, registra </w:t>
      </w:r>
      <w:r w:rsidR="00E92B04" w:rsidRPr="00C80F8E">
        <w:rPr>
          <w:rFonts w:ascii="Abadi" w:hAnsi="Abadi" w:cstheme="minorHAnsi"/>
          <w:sz w:val="20"/>
          <w:szCs w:val="20"/>
          <w:lang w:val="es-ES_tradnl"/>
        </w:rPr>
        <w:t>de acuerdo con el</w:t>
      </w:r>
      <w:r w:rsidRPr="00C80F8E">
        <w:rPr>
          <w:rFonts w:ascii="Abadi" w:hAnsi="Abadi" w:cstheme="minorHAnsi"/>
          <w:sz w:val="20"/>
          <w:szCs w:val="20"/>
          <w:lang w:val="es-ES_tradnl"/>
        </w:rPr>
        <w:t xml:space="preserve"> Plan de Cuentas Contable y a los procedimientos de registros a</w:t>
      </w:r>
      <w:r w:rsidR="00295E35" w:rsidRPr="00C80F8E">
        <w:rPr>
          <w:rFonts w:ascii="Abadi" w:hAnsi="Abadi" w:cstheme="minorHAnsi"/>
          <w:sz w:val="20"/>
          <w:szCs w:val="20"/>
          <w:lang w:val="es-ES_tradnl"/>
        </w:rPr>
        <w:t>dap</w:t>
      </w:r>
      <w:r w:rsidRPr="00C80F8E">
        <w:rPr>
          <w:rFonts w:ascii="Abadi" w:hAnsi="Abadi" w:cstheme="minorHAnsi"/>
          <w:sz w:val="20"/>
          <w:szCs w:val="20"/>
          <w:lang w:val="es-ES_tradnl"/>
        </w:rPr>
        <w:t>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w:t>
      </w:r>
      <w:r w:rsidR="00170EEA"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 xml:space="preserve"> Así mismo, las transacciones relativas a los ingresos deberán registrarse en la etapa percibida.    </w:t>
      </w:r>
    </w:p>
    <w:p w14:paraId="2EE65740" w14:textId="77777777" w:rsidR="00765188" w:rsidRPr="00C80F8E" w:rsidRDefault="00F02806" w:rsidP="00A7606E">
      <w:pPr>
        <w:pStyle w:val="Prrafodelista"/>
        <w:numPr>
          <w:ilvl w:val="1"/>
          <w:numId w:val="2"/>
        </w:numPr>
        <w:tabs>
          <w:tab w:val="left" w:pos="851"/>
        </w:tabs>
        <w:spacing w:line="240" w:lineRule="auto"/>
        <w:jc w:val="both"/>
        <w:rPr>
          <w:rFonts w:ascii="Abadi" w:hAnsi="Abadi" w:cstheme="minorHAnsi"/>
          <w:b/>
          <w:bCs/>
          <w:sz w:val="20"/>
          <w:szCs w:val="20"/>
          <w:lang w:val="es-ES_tradnl"/>
        </w:rPr>
      </w:pPr>
      <w:r w:rsidRPr="00C80F8E">
        <w:rPr>
          <w:rFonts w:ascii="Abadi" w:hAnsi="Abadi" w:cstheme="minorHAnsi"/>
          <w:b/>
          <w:bCs/>
          <w:sz w:val="20"/>
          <w:szCs w:val="20"/>
          <w:lang w:val="es-ES_tradnl"/>
        </w:rPr>
        <w:t>Instrumentos financieros</w:t>
      </w:r>
    </w:p>
    <w:p w14:paraId="55ADEC18" w14:textId="0FCA5300" w:rsidR="00F02806" w:rsidRPr="00C80F8E" w:rsidRDefault="00F02806" w:rsidP="004C3283">
      <w:pPr>
        <w:jc w:val="both"/>
        <w:rPr>
          <w:rFonts w:ascii="Abadi" w:hAnsi="Abadi" w:cstheme="minorHAnsi"/>
          <w:sz w:val="20"/>
          <w:szCs w:val="20"/>
          <w:lang w:val="es-ES_tradnl"/>
        </w:rPr>
      </w:pPr>
      <w:r w:rsidRPr="00C80F8E">
        <w:rPr>
          <w:rFonts w:ascii="Abadi" w:hAnsi="Abadi" w:cstheme="minorHAnsi"/>
          <w:sz w:val="20"/>
          <w:szCs w:val="20"/>
          <w:lang w:val="es-ES_tradnl"/>
        </w:rPr>
        <w:t>Un instrumento financiero es un contrato entre dos partes, que da lugar a un activo financiero</w:t>
      </w:r>
      <w:r w:rsidR="00F004C4" w:rsidRPr="00C80F8E">
        <w:rPr>
          <w:rFonts w:ascii="Abadi" w:hAnsi="Abadi" w:cstheme="minorHAnsi"/>
          <w:sz w:val="20"/>
          <w:szCs w:val="20"/>
          <w:lang w:val="es-ES_tradnl"/>
        </w:rPr>
        <w:t xml:space="preserve"> para una de las partes y a un pasivo financiero para la otra parte.  </w:t>
      </w:r>
      <w:r w:rsidR="00CA79DC" w:rsidRPr="00C80F8E">
        <w:rPr>
          <w:rFonts w:ascii="Abadi" w:hAnsi="Abadi" w:cstheme="minorHAnsi"/>
          <w:sz w:val="20"/>
          <w:szCs w:val="20"/>
          <w:lang w:val="es-ES_tradnl"/>
        </w:rPr>
        <w:t xml:space="preserve">Los instrumentos financieros de </w:t>
      </w:r>
      <w:r w:rsidR="00D534E6" w:rsidRPr="00C80F8E">
        <w:rPr>
          <w:rFonts w:ascii="Abadi" w:hAnsi="Abadi" w:cstheme="minorHAnsi"/>
          <w:sz w:val="20"/>
          <w:szCs w:val="20"/>
          <w:lang w:val="es-ES_tradnl"/>
        </w:rPr>
        <w:t>SIPEN</w:t>
      </w:r>
      <w:r w:rsidR="00CA79DC" w:rsidRPr="00C80F8E">
        <w:rPr>
          <w:rFonts w:ascii="Abadi" w:hAnsi="Abadi" w:cstheme="minorHAnsi"/>
          <w:sz w:val="20"/>
          <w:szCs w:val="20"/>
          <w:lang w:val="es-ES_tradnl"/>
        </w:rPr>
        <w:t xml:space="preserve"> son los renglones de efectivo, cuentas por cobrar</w:t>
      </w:r>
      <w:r w:rsidR="009D23DC" w:rsidRPr="00C80F8E">
        <w:rPr>
          <w:rFonts w:ascii="Abadi" w:hAnsi="Abadi" w:cstheme="minorHAnsi"/>
          <w:sz w:val="20"/>
          <w:szCs w:val="20"/>
          <w:lang w:val="es-ES_tradnl"/>
        </w:rPr>
        <w:t>, cuentas por pagar y las acumulaciones por pagar.</w:t>
      </w:r>
    </w:p>
    <w:p w14:paraId="231F669F" w14:textId="77777777" w:rsidR="002E41BD" w:rsidRPr="00C80F8E" w:rsidRDefault="00E54C2A" w:rsidP="00A7606E">
      <w:pPr>
        <w:pStyle w:val="Prrafodelista"/>
        <w:numPr>
          <w:ilvl w:val="2"/>
          <w:numId w:val="2"/>
        </w:numPr>
        <w:jc w:val="both"/>
        <w:rPr>
          <w:rFonts w:ascii="Abadi" w:hAnsi="Abadi" w:cstheme="minorHAnsi"/>
          <w:b/>
          <w:bCs/>
          <w:sz w:val="20"/>
          <w:szCs w:val="20"/>
          <w:lang w:val="es-ES_tradnl"/>
        </w:rPr>
      </w:pPr>
      <w:r w:rsidRPr="00C80F8E">
        <w:rPr>
          <w:rFonts w:ascii="Abadi" w:hAnsi="Abadi" w:cstheme="minorHAnsi"/>
          <w:b/>
          <w:bCs/>
          <w:sz w:val="20"/>
          <w:szCs w:val="20"/>
          <w:lang w:val="es-ES_tradnl"/>
        </w:rPr>
        <w:t>Activos y pasivos financieros no derivados – reconocimiento y bajo en cuentas</w:t>
      </w:r>
    </w:p>
    <w:p w14:paraId="06B0A979" w14:textId="77777777" w:rsidR="0001176E" w:rsidRPr="00C80F8E" w:rsidRDefault="00CC1FED" w:rsidP="004C3283">
      <w:pPr>
        <w:jc w:val="both"/>
        <w:rPr>
          <w:rFonts w:ascii="Abadi" w:hAnsi="Abadi" w:cstheme="minorHAnsi"/>
          <w:sz w:val="20"/>
          <w:szCs w:val="20"/>
          <w:lang w:val="es-ES_tradnl"/>
        </w:rPr>
      </w:pPr>
      <w:r w:rsidRPr="00C80F8E">
        <w:rPr>
          <w:rFonts w:ascii="Abadi" w:hAnsi="Abadi" w:cstheme="minorHAnsi"/>
          <w:sz w:val="20"/>
          <w:szCs w:val="20"/>
          <w:lang w:val="es-ES_tradnl"/>
        </w:rPr>
        <w:t>Los instrumentos financieros no derivados se reconocen al momento en que</w:t>
      </w:r>
      <w:r w:rsidR="00A17370" w:rsidRPr="00C80F8E">
        <w:rPr>
          <w:rFonts w:ascii="Abadi" w:hAnsi="Abadi" w:cstheme="minorHAnsi"/>
          <w:sz w:val="20"/>
          <w:szCs w:val="20"/>
          <w:lang w:val="es-ES_tradnl"/>
        </w:rPr>
        <w:t xml:space="preserve"> se </w:t>
      </w:r>
      <w:r w:rsidR="00675CFD" w:rsidRPr="00C80F8E">
        <w:rPr>
          <w:rFonts w:ascii="Abadi" w:hAnsi="Abadi" w:cstheme="minorHAnsi"/>
          <w:sz w:val="20"/>
          <w:szCs w:val="20"/>
          <w:lang w:val="es-ES_tradnl"/>
        </w:rPr>
        <w:t>efectúa</w:t>
      </w:r>
      <w:r w:rsidR="0098418E" w:rsidRPr="00C80F8E">
        <w:rPr>
          <w:rFonts w:ascii="Abadi" w:hAnsi="Abadi" w:cstheme="minorHAnsi"/>
          <w:sz w:val="20"/>
          <w:szCs w:val="20"/>
          <w:lang w:val="es-ES_tradnl"/>
        </w:rPr>
        <w:t xml:space="preserve"> la transacción, independientemente de </w:t>
      </w:r>
      <w:r w:rsidR="00675CFD" w:rsidRPr="00C80F8E">
        <w:rPr>
          <w:rFonts w:ascii="Abadi" w:hAnsi="Abadi" w:cstheme="minorHAnsi"/>
          <w:sz w:val="20"/>
          <w:szCs w:val="20"/>
          <w:lang w:val="es-ES_tradnl"/>
        </w:rPr>
        <w:t>cuándo</w:t>
      </w:r>
      <w:r w:rsidR="0098418E" w:rsidRPr="00C80F8E">
        <w:rPr>
          <w:rFonts w:ascii="Abadi" w:hAnsi="Abadi" w:cstheme="minorHAnsi"/>
          <w:sz w:val="20"/>
          <w:szCs w:val="20"/>
          <w:lang w:val="es-ES_tradnl"/>
        </w:rPr>
        <w:t xml:space="preserve"> se paga.</w:t>
      </w:r>
    </w:p>
    <w:p w14:paraId="426233EA" w14:textId="77777777" w:rsidR="008C03C6" w:rsidRPr="00C80F8E" w:rsidRDefault="008C03C6" w:rsidP="00A7606E">
      <w:pPr>
        <w:pStyle w:val="Prrafodelista"/>
        <w:numPr>
          <w:ilvl w:val="2"/>
          <w:numId w:val="2"/>
        </w:numPr>
        <w:jc w:val="both"/>
        <w:rPr>
          <w:rFonts w:ascii="Abadi" w:hAnsi="Abadi" w:cstheme="minorHAnsi"/>
          <w:b/>
          <w:bCs/>
          <w:sz w:val="20"/>
          <w:szCs w:val="20"/>
          <w:lang w:val="es-ES_tradnl"/>
        </w:rPr>
      </w:pPr>
      <w:r w:rsidRPr="00C80F8E">
        <w:rPr>
          <w:rFonts w:ascii="Abadi" w:hAnsi="Abadi" w:cstheme="minorHAnsi"/>
          <w:b/>
          <w:bCs/>
          <w:sz w:val="20"/>
          <w:szCs w:val="20"/>
          <w:lang w:val="es-ES_tradnl"/>
        </w:rPr>
        <w:t>Activos financieros no derivados – medición</w:t>
      </w:r>
    </w:p>
    <w:p w14:paraId="4C6E713F" w14:textId="1310DA37" w:rsidR="008C03C6" w:rsidRPr="00C80F8E" w:rsidRDefault="008C03C6" w:rsidP="004C3283">
      <w:pPr>
        <w:jc w:val="both"/>
        <w:rPr>
          <w:rFonts w:ascii="Abadi" w:hAnsi="Abadi" w:cstheme="minorHAnsi"/>
          <w:sz w:val="20"/>
          <w:szCs w:val="20"/>
          <w:lang w:val="es-ES_tradnl"/>
        </w:rPr>
      </w:pPr>
      <w:r w:rsidRPr="00C80F8E">
        <w:rPr>
          <w:rFonts w:ascii="Abadi" w:hAnsi="Abadi" w:cstheme="minorHAnsi"/>
          <w:sz w:val="20"/>
          <w:szCs w:val="20"/>
          <w:lang w:val="es-ES_tradnl"/>
        </w:rPr>
        <w:t xml:space="preserve">Los instrumentos </w:t>
      </w:r>
      <w:r w:rsidR="00202D57" w:rsidRPr="00C80F8E">
        <w:rPr>
          <w:rFonts w:ascii="Abadi" w:hAnsi="Abadi" w:cstheme="minorHAnsi"/>
          <w:sz w:val="20"/>
          <w:szCs w:val="20"/>
          <w:lang w:val="es-ES_tradnl"/>
        </w:rPr>
        <w:t>financieros no derivados se miden de acuerdo con la consideración entregada al momento de la transacción.</w:t>
      </w:r>
      <w:r w:rsidR="007049AA" w:rsidRPr="00C80F8E">
        <w:rPr>
          <w:rFonts w:ascii="Abadi" w:hAnsi="Abadi" w:cstheme="minorHAnsi"/>
          <w:sz w:val="20"/>
          <w:szCs w:val="20"/>
          <w:lang w:val="es-ES_tradnl"/>
        </w:rPr>
        <w:t xml:space="preserve"> </w:t>
      </w:r>
      <w:r w:rsidR="00170EEA" w:rsidRPr="00C80F8E">
        <w:rPr>
          <w:rFonts w:ascii="Abadi" w:hAnsi="Abadi" w:cstheme="minorHAnsi"/>
          <w:sz w:val="20"/>
          <w:szCs w:val="20"/>
          <w:lang w:val="es-ES_tradnl"/>
        </w:rPr>
        <w:t xml:space="preserve"> </w:t>
      </w:r>
      <w:r w:rsidR="004405CC" w:rsidRPr="00C80F8E">
        <w:rPr>
          <w:rFonts w:ascii="Abadi" w:hAnsi="Abadi" w:cstheme="minorHAnsi"/>
          <w:sz w:val="20"/>
          <w:szCs w:val="20"/>
          <w:lang w:val="es-ES_tradnl"/>
        </w:rPr>
        <w:t>Son reconocidos a su valor razonable, más cualquier costo de transacción directamente atribuible o de alguna otra manera</w:t>
      </w:r>
      <w:r w:rsidR="004F1A4C" w:rsidRPr="00C80F8E">
        <w:rPr>
          <w:rFonts w:ascii="Abadi" w:hAnsi="Abadi" w:cstheme="minorHAnsi"/>
          <w:sz w:val="20"/>
          <w:szCs w:val="20"/>
          <w:lang w:val="es-ES_tradnl"/>
        </w:rPr>
        <w:t>.</w:t>
      </w:r>
    </w:p>
    <w:p w14:paraId="43FB648A" w14:textId="77777777" w:rsidR="008E4A88" w:rsidRPr="00C80F8E" w:rsidRDefault="008E4A88" w:rsidP="00A7606E">
      <w:pPr>
        <w:pStyle w:val="Prrafodelista"/>
        <w:numPr>
          <w:ilvl w:val="2"/>
          <w:numId w:val="2"/>
        </w:numPr>
        <w:jc w:val="both"/>
        <w:rPr>
          <w:rFonts w:ascii="Abadi" w:hAnsi="Abadi" w:cstheme="minorHAnsi"/>
          <w:b/>
          <w:bCs/>
          <w:sz w:val="20"/>
          <w:szCs w:val="20"/>
          <w:lang w:val="es-ES_tradnl"/>
        </w:rPr>
      </w:pPr>
      <w:r w:rsidRPr="00C80F8E">
        <w:rPr>
          <w:rFonts w:ascii="Abadi" w:hAnsi="Abadi" w:cstheme="minorHAnsi"/>
          <w:b/>
          <w:bCs/>
          <w:sz w:val="20"/>
          <w:szCs w:val="20"/>
          <w:lang w:val="es-ES_tradnl"/>
        </w:rPr>
        <w:t>Pasivos financieros no derivados – medición</w:t>
      </w:r>
    </w:p>
    <w:p w14:paraId="1E4CD621" w14:textId="77777777" w:rsidR="008E4A88" w:rsidRPr="00C80F8E" w:rsidRDefault="008E4A88" w:rsidP="004C3283">
      <w:pPr>
        <w:jc w:val="both"/>
        <w:rPr>
          <w:rFonts w:ascii="Abadi" w:hAnsi="Abadi" w:cstheme="minorHAnsi"/>
          <w:sz w:val="20"/>
          <w:szCs w:val="20"/>
          <w:lang w:val="es-ES_tradnl"/>
        </w:rPr>
      </w:pPr>
      <w:r w:rsidRPr="00C80F8E">
        <w:rPr>
          <w:rFonts w:ascii="Abadi" w:hAnsi="Abadi" w:cstheme="minorHAnsi"/>
          <w:sz w:val="20"/>
          <w:szCs w:val="20"/>
          <w:lang w:val="es-ES_tradnl"/>
        </w:rPr>
        <w:t>Los pasivos financieros no derivados son reconocidos a su valor ra</w:t>
      </w:r>
      <w:r w:rsidR="0090789F" w:rsidRPr="00C80F8E">
        <w:rPr>
          <w:rFonts w:ascii="Abadi" w:hAnsi="Abadi" w:cstheme="minorHAnsi"/>
          <w:sz w:val="20"/>
          <w:szCs w:val="20"/>
          <w:lang w:val="es-ES_tradnl"/>
        </w:rPr>
        <w:t>zonable, menos cualquier costo de transacción directamente atribuible o de alguna otra manera.</w:t>
      </w:r>
    </w:p>
    <w:p w14:paraId="04BF7B38" w14:textId="77777777" w:rsidR="0090789F" w:rsidRPr="00C80F8E" w:rsidRDefault="00147964" w:rsidP="00A7606E">
      <w:pPr>
        <w:pStyle w:val="Prrafodelista"/>
        <w:numPr>
          <w:ilvl w:val="2"/>
          <w:numId w:val="2"/>
        </w:numPr>
        <w:jc w:val="both"/>
        <w:rPr>
          <w:rFonts w:ascii="Abadi" w:hAnsi="Abadi" w:cstheme="minorHAnsi"/>
          <w:b/>
          <w:bCs/>
          <w:sz w:val="20"/>
          <w:szCs w:val="20"/>
          <w:lang w:val="es-ES_tradnl"/>
        </w:rPr>
      </w:pPr>
      <w:r w:rsidRPr="00C80F8E">
        <w:rPr>
          <w:rFonts w:ascii="Abadi" w:hAnsi="Abadi" w:cstheme="minorHAnsi"/>
          <w:b/>
          <w:bCs/>
          <w:sz w:val="20"/>
          <w:szCs w:val="20"/>
          <w:lang w:val="es-ES_tradnl"/>
        </w:rPr>
        <w:t>Inventarios de materiales de oficina</w:t>
      </w:r>
    </w:p>
    <w:p w14:paraId="40E6D4E8" w14:textId="77777777" w:rsidR="000C5152" w:rsidRPr="00C80F8E" w:rsidRDefault="00147964" w:rsidP="0001176E">
      <w:pPr>
        <w:jc w:val="both"/>
        <w:rPr>
          <w:rFonts w:ascii="Abadi" w:hAnsi="Abadi" w:cstheme="minorHAnsi"/>
          <w:sz w:val="20"/>
          <w:szCs w:val="20"/>
          <w:lang w:val="es-ES_tradnl"/>
        </w:rPr>
      </w:pPr>
      <w:r w:rsidRPr="00C80F8E">
        <w:rPr>
          <w:rFonts w:ascii="Abadi" w:hAnsi="Abadi" w:cstheme="minorHAnsi"/>
          <w:sz w:val="20"/>
          <w:szCs w:val="20"/>
          <w:lang w:val="es-ES_tradnl"/>
        </w:rPr>
        <w:t>Los inventarios de materiales de oficina se registran al menor valor entre el costo y mercado</w:t>
      </w:r>
      <w:bookmarkStart w:id="1" w:name="_Toc180760083"/>
      <w:bookmarkStart w:id="2" w:name="_Toc177875159"/>
      <w:bookmarkStart w:id="3" w:name="_Toc155686840"/>
      <w:bookmarkStart w:id="4" w:name="_Toc208202780"/>
      <w:bookmarkStart w:id="5" w:name="_Toc207181358"/>
      <w:bookmarkStart w:id="6" w:name="_Toc191191205"/>
    </w:p>
    <w:bookmarkEnd w:id="1"/>
    <w:bookmarkEnd w:id="2"/>
    <w:bookmarkEnd w:id="3"/>
    <w:bookmarkEnd w:id="4"/>
    <w:bookmarkEnd w:id="5"/>
    <w:bookmarkEnd w:id="6"/>
    <w:p w14:paraId="72829FA5" w14:textId="77777777" w:rsidR="00E33814" w:rsidRPr="00C80F8E" w:rsidRDefault="00E33814" w:rsidP="00A7606E">
      <w:pPr>
        <w:pStyle w:val="Prrafodelista"/>
        <w:numPr>
          <w:ilvl w:val="1"/>
          <w:numId w:val="2"/>
        </w:numPr>
        <w:tabs>
          <w:tab w:val="left" w:pos="993"/>
        </w:tabs>
        <w:jc w:val="both"/>
        <w:rPr>
          <w:rFonts w:ascii="Abadi" w:hAnsi="Abadi" w:cstheme="minorHAnsi"/>
          <w:b/>
          <w:sz w:val="20"/>
          <w:szCs w:val="20"/>
          <w:lang w:val="es-ES_tradnl"/>
        </w:rPr>
      </w:pPr>
      <w:r w:rsidRPr="00C80F8E">
        <w:rPr>
          <w:rFonts w:ascii="Abadi" w:hAnsi="Abadi" w:cstheme="minorHAnsi"/>
          <w:b/>
          <w:sz w:val="20"/>
          <w:szCs w:val="20"/>
          <w:lang w:val="es-ES_tradnl"/>
        </w:rPr>
        <w:t>Propiedad, mobiliario y equipos</w:t>
      </w:r>
    </w:p>
    <w:p w14:paraId="18337534" w14:textId="08902C27" w:rsidR="00B42FA6" w:rsidRPr="00C80F8E" w:rsidRDefault="00B42FA6"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Las inversiones en bienes de uso se valúan por su costo de adquisición, de construcción o por un valor equivalente (costo corriente) cuando se reciben sin contraprestación. </w:t>
      </w:r>
      <w:r w:rsidR="00170EEA"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 xml:space="preserve">El costo de adquisición incluye el precio </w:t>
      </w:r>
      <w:r w:rsidRPr="00C80F8E">
        <w:rPr>
          <w:rFonts w:ascii="Abadi" w:hAnsi="Abadi" w:cstheme="minorHAnsi"/>
          <w:sz w:val="20"/>
          <w:szCs w:val="20"/>
          <w:lang w:val="es-ES_tradnl"/>
        </w:rPr>
        <w:lastRenderedPageBreak/>
        <w:t xml:space="preserve">neto pagado por los bienes, más todos los gastos necesarios para colocar el bien en lugar y condiciones de uso. </w:t>
      </w:r>
    </w:p>
    <w:p w14:paraId="092413E6" w14:textId="2E60C00E" w:rsidR="00B42FA6" w:rsidRPr="00C80F8E" w:rsidRDefault="00B42FA6" w:rsidP="00B42FA6">
      <w:pPr>
        <w:jc w:val="both"/>
        <w:rPr>
          <w:rFonts w:ascii="Abadi" w:hAnsi="Abadi" w:cstheme="minorHAnsi"/>
          <w:sz w:val="20"/>
          <w:szCs w:val="20"/>
          <w:lang w:val="es-ES_tradnl"/>
        </w:rPr>
      </w:pPr>
      <w:r w:rsidRPr="00C80F8E">
        <w:rPr>
          <w:rFonts w:ascii="Abadi" w:hAnsi="Abadi" w:cstheme="minorHAnsi"/>
          <w:sz w:val="20"/>
          <w:szCs w:val="20"/>
          <w:lang w:val="es-ES_tradnl"/>
        </w:rPr>
        <w:t>Los costos de construcción incluyen los costos directos e indirectos, incluyendo los costos de administración de la obra, incurridos y devengados durante el período efectivo de la construcción.</w:t>
      </w:r>
      <w:r w:rsidR="0077590D" w:rsidRPr="00C80F8E">
        <w:rPr>
          <w:rFonts w:ascii="Abadi" w:hAnsi="Abadi" w:cstheme="minorHAnsi"/>
          <w:sz w:val="20"/>
          <w:szCs w:val="20"/>
          <w:lang w:val="es-ES_tradnl"/>
        </w:rPr>
        <w:t xml:space="preserve"> </w:t>
      </w:r>
      <w:r w:rsidR="00170EEA"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Los bienes recibidos en donación son contabilizados a valor corriente, representado por el importe de efectivo y otras partidas equivalentes, que debería pagarse para adquirirlo en las condiciones en que se encuentren.</w:t>
      </w:r>
      <w:r w:rsidR="0077590D" w:rsidRPr="00C80F8E">
        <w:rPr>
          <w:rFonts w:ascii="Abadi" w:hAnsi="Abadi" w:cstheme="minorHAnsi"/>
          <w:sz w:val="20"/>
          <w:szCs w:val="20"/>
          <w:lang w:val="es-ES_tradnl"/>
        </w:rPr>
        <w:t xml:space="preserve"> </w:t>
      </w:r>
      <w:r w:rsidR="00170EEA"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Los bienes adquiridos en monedas extranjeras se registran al tipo de cambio vigente a la fecha de la adquisición.</w:t>
      </w:r>
    </w:p>
    <w:p w14:paraId="6E3D9C01" w14:textId="3FEFAD78" w:rsidR="00980D5A" w:rsidRPr="00C80F8E" w:rsidRDefault="00B42FA6"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Los costos de mejoras, reparaciones mayores y rehabilitaciones que extienden la vida útil de los Bienes de Uso, se capitalizan en forma conjunta con el bien existente o por separado cuando ello sea aconsejable, </w:t>
      </w:r>
      <w:r w:rsidR="00F05F91" w:rsidRPr="00C80F8E">
        <w:rPr>
          <w:rFonts w:ascii="Abadi" w:hAnsi="Abadi" w:cstheme="minorHAnsi"/>
          <w:sz w:val="20"/>
          <w:szCs w:val="20"/>
          <w:lang w:val="es-ES_tradnl"/>
        </w:rPr>
        <w:t>de acuerdo con</w:t>
      </w:r>
      <w:r w:rsidRPr="00C80F8E">
        <w:rPr>
          <w:rFonts w:ascii="Abadi" w:hAnsi="Abadi" w:cstheme="minorHAnsi"/>
          <w:sz w:val="20"/>
          <w:szCs w:val="20"/>
          <w:lang w:val="es-ES_tradnl"/>
        </w:rPr>
        <w:t xml:space="preserve"> la naturaleza de la operación realizada y del bien de que se trate</w:t>
      </w:r>
      <w:r w:rsidR="000E70C5"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 xml:space="preserve">Los bienes inmuebles son contabilizados </w:t>
      </w:r>
      <w:r w:rsidR="00F05F91" w:rsidRPr="00C80F8E">
        <w:rPr>
          <w:rFonts w:ascii="Abadi" w:hAnsi="Abadi" w:cstheme="minorHAnsi"/>
          <w:sz w:val="20"/>
          <w:szCs w:val="20"/>
          <w:lang w:val="es-ES_tradnl"/>
        </w:rPr>
        <w:t>de acuerdo con</w:t>
      </w:r>
      <w:r w:rsidRPr="00C80F8E">
        <w:rPr>
          <w:rFonts w:ascii="Abadi" w:hAnsi="Abadi" w:cstheme="minorHAnsi"/>
          <w:sz w:val="20"/>
          <w:szCs w:val="20"/>
          <w:lang w:val="es-ES_tradnl"/>
        </w:rPr>
        <w:t xml:space="preserve"> la última valuación fiscal conocida, y de no resultar factible su obtención, se recurrirá a su tasación.</w:t>
      </w:r>
    </w:p>
    <w:p w14:paraId="7B1FC9B8" w14:textId="4EF1DA76" w:rsidR="00215AC0" w:rsidRPr="00C80F8E" w:rsidRDefault="00AD0998" w:rsidP="00B42FA6">
      <w:pPr>
        <w:jc w:val="both"/>
        <w:rPr>
          <w:rFonts w:ascii="Abadi" w:hAnsi="Abadi" w:cstheme="minorHAnsi"/>
          <w:b/>
          <w:bCs/>
          <w:sz w:val="20"/>
          <w:szCs w:val="20"/>
          <w:lang w:val="es-ES_tradnl"/>
        </w:rPr>
      </w:pPr>
      <w:r w:rsidRPr="00C80F8E">
        <w:rPr>
          <w:rFonts w:ascii="Abadi" w:hAnsi="Abadi" w:cstheme="minorHAnsi"/>
          <w:b/>
          <w:bCs/>
          <w:sz w:val="20"/>
          <w:szCs w:val="20"/>
          <w:lang w:val="es-ES_tradnl"/>
        </w:rPr>
        <w:t>6.</w:t>
      </w:r>
      <w:r w:rsidR="008808B4" w:rsidRPr="00C80F8E">
        <w:rPr>
          <w:rFonts w:ascii="Abadi" w:hAnsi="Abadi" w:cstheme="minorHAnsi"/>
          <w:b/>
          <w:bCs/>
          <w:sz w:val="20"/>
          <w:szCs w:val="20"/>
          <w:lang w:val="es-ES_tradnl"/>
        </w:rPr>
        <w:t>3</w:t>
      </w:r>
      <w:r w:rsidRPr="00C80F8E">
        <w:rPr>
          <w:rFonts w:ascii="Abadi" w:hAnsi="Abadi" w:cstheme="minorHAnsi"/>
          <w:b/>
          <w:bCs/>
          <w:sz w:val="20"/>
          <w:szCs w:val="20"/>
          <w:lang w:val="es-ES_tradnl"/>
        </w:rPr>
        <w:t>.1</w:t>
      </w:r>
      <w:r w:rsidRPr="00C80F8E">
        <w:rPr>
          <w:rFonts w:ascii="Abadi" w:hAnsi="Abadi" w:cstheme="minorHAnsi"/>
          <w:b/>
          <w:bCs/>
          <w:sz w:val="20"/>
          <w:szCs w:val="20"/>
          <w:lang w:val="es-ES_tradnl"/>
        </w:rPr>
        <w:tab/>
      </w:r>
      <w:r w:rsidR="00B6582C" w:rsidRPr="00C80F8E">
        <w:rPr>
          <w:rFonts w:ascii="Abadi" w:hAnsi="Abadi" w:cstheme="minorHAnsi"/>
          <w:b/>
          <w:bCs/>
          <w:sz w:val="20"/>
          <w:szCs w:val="20"/>
          <w:lang w:val="es-ES_tradnl"/>
        </w:rPr>
        <w:t>Costos Posteriores</w:t>
      </w:r>
      <w:r w:rsidR="00364DFA" w:rsidRPr="00C80F8E">
        <w:rPr>
          <w:rFonts w:ascii="Abadi" w:hAnsi="Abadi" w:cstheme="minorHAnsi"/>
          <w:b/>
          <w:bCs/>
          <w:sz w:val="20"/>
          <w:szCs w:val="20"/>
          <w:lang w:val="es-ES_tradnl"/>
        </w:rPr>
        <w:t>:</w:t>
      </w:r>
    </w:p>
    <w:p w14:paraId="0D8A7FFF" w14:textId="41B30578" w:rsidR="00B6582C" w:rsidRPr="00C80F8E" w:rsidRDefault="00F04DA6"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Los costos posteriores se capitalizan de acuerdo con </w:t>
      </w:r>
      <w:r w:rsidR="00675CFD" w:rsidRPr="00C80F8E">
        <w:rPr>
          <w:rFonts w:ascii="Abadi" w:hAnsi="Abadi" w:cstheme="minorHAnsi"/>
          <w:sz w:val="20"/>
          <w:szCs w:val="20"/>
          <w:lang w:val="es-ES_tradnl"/>
        </w:rPr>
        <w:t xml:space="preserve">las políticas </w:t>
      </w:r>
      <w:r w:rsidR="00DB3FAA" w:rsidRPr="00C80F8E">
        <w:rPr>
          <w:rFonts w:ascii="Abadi" w:hAnsi="Abadi" w:cstheme="minorHAnsi"/>
          <w:sz w:val="20"/>
          <w:szCs w:val="20"/>
          <w:lang w:val="es-ES_tradnl"/>
        </w:rPr>
        <w:t>adop</w:t>
      </w:r>
      <w:r w:rsidR="00675CFD" w:rsidRPr="00C80F8E">
        <w:rPr>
          <w:rFonts w:ascii="Abadi" w:hAnsi="Abadi" w:cstheme="minorHAnsi"/>
          <w:sz w:val="20"/>
          <w:szCs w:val="20"/>
          <w:lang w:val="es-ES_tradnl"/>
        </w:rPr>
        <w:t>tadas</w:t>
      </w:r>
      <w:r w:rsidR="00BA7F3F" w:rsidRPr="00C80F8E">
        <w:rPr>
          <w:rFonts w:ascii="Abadi" w:hAnsi="Abadi" w:cstheme="minorHAnsi"/>
          <w:sz w:val="20"/>
          <w:szCs w:val="20"/>
          <w:lang w:val="es-ES_tradnl"/>
        </w:rPr>
        <w:t xml:space="preserve"> de capitalización considerando los montos envueltos.</w:t>
      </w:r>
      <w:r w:rsidR="00853C29" w:rsidRPr="00C80F8E">
        <w:rPr>
          <w:rFonts w:ascii="Abadi" w:hAnsi="Abadi" w:cstheme="minorHAnsi"/>
          <w:sz w:val="20"/>
          <w:szCs w:val="20"/>
          <w:lang w:val="es-ES_tradnl"/>
        </w:rPr>
        <w:t xml:space="preserve">  De</w:t>
      </w:r>
      <w:r w:rsidR="00364DFA" w:rsidRPr="00C80F8E">
        <w:rPr>
          <w:rFonts w:ascii="Abadi" w:hAnsi="Abadi" w:cstheme="minorHAnsi"/>
          <w:sz w:val="20"/>
          <w:szCs w:val="20"/>
          <w:lang w:val="es-ES_tradnl"/>
        </w:rPr>
        <w:t>sembolsos menores son registrados en resultados de operaciones.</w:t>
      </w:r>
    </w:p>
    <w:p w14:paraId="155D1FB3" w14:textId="77777777" w:rsidR="00E77E2F" w:rsidRPr="00C80F8E" w:rsidRDefault="00AD0998" w:rsidP="00B42FA6">
      <w:pPr>
        <w:jc w:val="both"/>
        <w:rPr>
          <w:rFonts w:ascii="Abadi" w:hAnsi="Abadi" w:cstheme="minorHAnsi"/>
          <w:b/>
          <w:bCs/>
          <w:sz w:val="20"/>
          <w:szCs w:val="20"/>
          <w:lang w:val="es-ES_tradnl"/>
        </w:rPr>
      </w:pPr>
      <w:r w:rsidRPr="00C80F8E">
        <w:rPr>
          <w:rFonts w:ascii="Abadi" w:hAnsi="Abadi" w:cstheme="minorHAnsi"/>
          <w:b/>
          <w:bCs/>
          <w:sz w:val="20"/>
          <w:szCs w:val="20"/>
          <w:lang w:val="es-ES_tradnl"/>
        </w:rPr>
        <w:t>6.3.2</w:t>
      </w:r>
      <w:r w:rsidRPr="00C80F8E">
        <w:rPr>
          <w:rFonts w:ascii="Abadi" w:hAnsi="Abadi" w:cstheme="minorHAnsi"/>
          <w:b/>
          <w:bCs/>
          <w:sz w:val="20"/>
          <w:szCs w:val="20"/>
          <w:lang w:val="es-ES_tradnl"/>
        </w:rPr>
        <w:tab/>
      </w:r>
      <w:r w:rsidR="00675CFD" w:rsidRPr="00C80F8E">
        <w:rPr>
          <w:rFonts w:ascii="Abadi" w:hAnsi="Abadi" w:cstheme="minorHAnsi"/>
          <w:b/>
          <w:bCs/>
          <w:sz w:val="20"/>
          <w:szCs w:val="20"/>
          <w:lang w:val="es-ES_tradnl"/>
        </w:rPr>
        <w:t>Depreciación</w:t>
      </w:r>
      <w:r w:rsidR="00364DFA" w:rsidRPr="00C80F8E">
        <w:rPr>
          <w:rFonts w:ascii="Abadi" w:hAnsi="Abadi" w:cstheme="minorHAnsi"/>
          <w:b/>
          <w:bCs/>
          <w:sz w:val="20"/>
          <w:szCs w:val="20"/>
          <w:lang w:val="es-ES_tradnl"/>
        </w:rPr>
        <w:t>:</w:t>
      </w:r>
    </w:p>
    <w:p w14:paraId="3095C323" w14:textId="77777777" w:rsidR="00E77E2F" w:rsidRPr="00C80F8E" w:rsidRDefault="00E77E2F"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La </w:t>
      </w:r>
      <w:r w:rsidR="00675CFD" w:rsidRPr="00C80F8E">
        <w:rPr>
          <w:rFonts w:ascii="Abadi" w:hAnsi="Abadi" w:cstheme="minorHAnsi"/>
          <w:sz w:val="20"/>
          <w:szCs w:val="20"/>
          <w:lang w:val="es-ES_tradnl"/>
        </w:rPr>
        <w:t>depreciación</w:t>
      </w:r>
      <w:r w:rsidR="00742B5A" w:rsidRPr="00C80F8E">
        <w:rPr>
          <w:rFonts w:ascii="Abadi" w:hAnsi="Abadi" w:cstheme="minorHAnsi"/>
          <w:sz w:val="20"/>
          <w:szCs w:val="20"/>
          <w:lang w:val="es-ES_tradnl"/>
        </w:rPr>
        <w:t xml:space="preserve"> se calcula sobre el monto depreciable, que corresponde al costo de un activo</w:t>
      </w:r>
      <w:r w:rsidR="00CA1769" w:rsidRPr="00C80F8E">
        <w:rPr>
          <w:rFonts w:ascii="Abadi" w:hAnsi="Abadi" w:cstheme="minorHAnsi"/>
          <w:sz w:val="20"/>
          <w:szCs w:val="20"/>
          <w:lang w:val="es-ES_tradnl"/>
        </w:rPr>
        <w:t xml:space="preserve"> y otro monto que se sustituye por el costo menos su valor residual.</w:t>
      </w:r>
    </w:p>
    <w:p w14:paraId="7C6BD686" w14:textId="5E5CAD60" w:rsidR="005E374E" w:rsidRPr="00C80F8E" w:rsidRDefault="00285166"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La depreciación </w:t>
      </w:r>
      <w:r w:rsidR="008B54AA" w:rsidRPr="00C80F8E">
        <w:rPr>
          <w:rFonts w:ascii="Abadi" w:hAnsi="Abadi" w:cstheme="minorHAnsi"/>
          <w:sz w:val="20"/>
          <w:szCs w:val="20"/>
          <w:lang w:val="es-ES_tradnl"/>
        </w:rPr>
        <w:t xml:space="preserve">es reconocida en </w:t>
      </w:r>
      <w:r w:rsidR="00675CFD" w:rsidRPr="00C80F8E">
        <w:rPr>
          <w:rFonts w:ascii="Abadi" w:hAnsi="Abadi" w:cstheme="minorHAnsi"/>
          <w:sz w:val="20"/>
          <w:szCs w:val="20"/>
          <w:lang w:val="es-ES_tradnl"/>
        </w:rPr>
        <w:t>resultados</w:t>
      </w:r>
      <w:r w:rsidR="008B54AA" w:rsidRPr="00C80F8E">
        <w:rPr>
          <w:rFonts w:ascii="Abadi" w:hAnsi="Abadi" w:cstheme="minorHAnsi"/>
          <w:sz w:val="20"/>
          <w:szCs w:val="20"/>
          <w:lang w:val="es-ES_tradnl"/>
        </w:rPr>
        <w:t xml:space="preserve"> sobre la base del</w:t>
      </w:r>
      <w:r w:rsidR="00B42FA6" w:rsidRPr="00C80F8E">
        <w:rPr>
          <w:rFonts w:ascii="Abadi" w:hAnsi="Abadi" w:cstheme="minorHAnsi"/>
          <w:sz w:val="20"/>
          <w:szCs w:val="20"/>
          <w:lang w:val="es-ES_tradnl"/>
        </w:rPr>
        <w:t xml:space="preserve"> método de </w:t>
      </w:r>
      <w:r w:rsidR="00920141" w:rsidRPr="00C80F8E">
        <w:rPr>
          <w:rFonts w:ascii="Abadi" w:hAnsi="Abadi" w:cstheme="minorHAnsi"/>
          <w:sz w:val="20"/>
          <w:szCs w:val="20"/>
          <w:lang w:val="es-ES_tradnl"/>
        </w:rPr>
        <w:t>línea recta</w:t>
      </w:r>
      <w:r w:rsidR="00B42FA6" w:rsidRPr="00C80F8E">
        <w:rPr>
          <w:rFonts w:ascii="Abadi" w:hAnsi="Abadi" w:cstheme="minorHAnsi"/>
          <w:sz w:val="20"/>
          <w:szCs w:val="20"/>
          <w:lang w:val="es-ES_tradnl"/>
        </w:rPr>
        <w:t xml:space="preserve">, </w:t>
      </w:r>
      <w:r w:rsidR="00CA6277" w:rsidRPr="00C80F8E">
        <w:rPr>
          <w:rFonts w:ascii="Abadi" w:hAnsi="Abadi" w:cstheme="minorHAnsi"/>
          <w:sz w:val="20"/>
          <w:szCs w:val="20"/>
          <w:lang w:val="es-ES_tradnl"/>
        </w:rPr>
        <w:t>adop</w:t>
      </w:r>
      <w:r w:rsidR="00B42FA6" w:rsidRPr="00C80F8E">
        <w:rPr>
          <w:rFonts w:ascii="Abadi" w:hAnsi="Abadi" w:cstheme="minorHAnsi"/>
          <w:sz w:val="20"/>
          <w:szCs w:val="20"/>
          <w:lang w:val="es-ES_tradnl"/>
        </w:rPr>
        <w:t xml:space="preserve">tado como método general aplicable a todo el Sector Público, a los fines de su </w:t>
      </w:r>
      <w:r w:rsidR="005E19D1" w:rsidRPr="00C80F8E">
        <w:rPr>
          <w:rFonts w:ascii="Abadi" w:hAnsi="Abadi" w:cstheme="minorHAnsi"/>
          <w:sz w:val="20"/>
          <w:szCs w:val="20"/>
          <w:lang w:val="es-ES_tradnl"/>
        </w:rPr>
        <w:t xml:space="preserve">registro y </w:t>
      </w:r>
      <w:r w:rsidR="00B42FA6" w:rsidRPr="00C80F8E">
        <w:rPr>
          <w:rFonts w:ascii="Abadi" w:hAnsi="Abadi" w:cstheme="minorHAnsi"/>
          <w:sz w:val="20"/>
          <w:szCs w:val="20"/>
          <w:lang w:val="es-ES_tradnl"/>
        </w:rPr>
        <w:t>consolidación.</w:t>
      </w:r>
      <w:r w:rsidR="00CA6277" w:rsidRPr="00C80F8E">
        <w:rPr>
          <w:rFonts w:ascii="Abadi" w:hAnsi="Abadi" w:cstheme="minorHAnsi"/>
          <w:sz w:val="20"/>
          <w:szCs w:val="20"/>
          <w:lang w:val="es-ES_tradnl"/>
        </w:rPr>
        <w:t xml:space="preserve"> </w:t>
      </w:r>
      <w:r w:rsidR="00B42FA6" w:rsidRPr="00C80F8E">
        <w:rPr>
          <w:rFonts w:ascii="Abadi" w:hAnsi="Abadi" w:cstheme="minorHAnsi"/>
          <w:sz w:val="20"/>
          <w:szCs w:val="20"/>
          <w:lang w:val="es-ES_tradnl"/>
        </w:rPr>
        <w:t xml:space="preserve"> </w:t>
      </w:r>
      <w:r w:rsidR="00675CFD" w:rsidRPr="00C80F8E">
        <w:rPr>
          <w:rFonts w:ascii="Abadi" w:hAnsi="Abadi" w:cstheme="minorHAnsi"/>
          <w:sz w:val="20"/>
          <w:szCs w:val="20"/>
          <w:lang w:val="es-ES_tradnl"/>
        </w:rPr>
        <w:t xml:space="preserve">El uso de este método representa la distribución sistemática y racional del costo total de cada partida del activo </w:t>
      </w:r>
      <w:r w:rsidR="00170EEA" w:rsidRPr="00C80F8E">
        <w:rPr>
          <w:rFonts w:ascii="Abadi" w:hAnsi="Abadi" w:cstheme="minorHAnsi"/>
          <w:sz w:val="20"/>
          <w:szCs w:val="20"/>
          <w:lang w:val="es-ES_tradnl"/>
        </w:rPr>
        <w:t>no corriente (</w:t>
      </w:r>
      <w:r w:rsidR="00675CFD" w:rsidRPr="00C80F8E">
        <w:rPr>
          <w:rFonts w:ascii="Abadi" w:hAnsi="Abadi" w:cstheme="minorHAnsi"/>
          <w:sz w:val="20"/>
          <w:szCs w:val="20"/>
          <w:lang w:val="es-ES_tradnl"/>
        </w:rPr>
        <w:t>fijo</w:t>
      </w:r>
      <w:r w:rsidR="00170EEA" w:rsidRPr="00C80F8E">
        <w:rPr>
          <w:rFonts w:ascii="Abadi" w:hAnsi="Abadi" w:cstheme="minorHAnsi"/>
          <w:sz w:val="20"/>
          <w:szCs w:val="20"/>
          <w:lang w:val="es-ES_tradnl"/>
        </w:rPr>
        <w:t>)</w:t>
      </w:r>
      <w:r w:rsidR="00675CFD" w:rsidRPr="00C80F8E">
        <w:rPr>
          <w:rFonts w:ascii="Abadi" w:hAnsi="Abadi" w:cstheme="minorHAnsi"/>
          <w:sz w:val="20"/>
          <w:szCs w:val="20"/>
          <w:lang w:val="es-ES_tradnl"/>
        </w:rPr>
        <w:t xml:space="preserve"> tangible, durante el período de su aprovechamiento económico (el estimado de años de vida útil de estos), puesto que estas reflejan con mayor exactitud el patrón de consumo esperado de los beneficios económicos futuros relacionados con el activo, el mismo será aplicado a todos los bienes de uso de dominio público, con excepción de los terrenos</w:t>
      </w:r>
      <w:r w:rsidR="00170EEA" w:rsidRPr="00C80F8E">
        <w:rPr>
          <w:rFonts w:ascii="Abadi" w:hAnsi="Abadi" w:cstheme="minorHAnsi"/>
          <w:sz w:val="20"/>
          <w:szCs w:val="20"/>
          <w:lang w:val="es-ES_tradnl"/>
        </w:rPr>
        <w:t xml:space="preserve"> en </w:t>
      </w:r>
      <w:bookmarkStart w:id="7" w:name="_Toc208202800"/>
      <w:bookmarkStart w:id="8" w:name="_Toc155686856"/>
      <w:bookmarkStart w:id="9" w:name="_Toc191191225"/>
      <w:bookmarkStart w:id="10" w:name="_Toc207181378"/>
      <w:r w:rsidR="00F05F91" w:rsidRPr="00C80F8E">
        <w:rPr>
          <w:rFonts w:ascii="Abadi" w:hAnsi="Abadi" w:cstheme="minorHAnsi"/>
          <w:sz w:val="20"/>
          <w:szCs w:val="20"/>
          <w:lang w:val="es-ES_tradnl"/>
        </w:rPr>
        <w:t>condiciones.</w:t>
      </w:r>
    </w:p>
    <w:p w14:paraId="5011D774" w14:textId="13696DA5" w:rsidR="00C11399" w:rsidRPr="00C80F8E" w:rsidRDefault="000128E7" w:rsidP="00B42FA6">
      <w:pPr>
        <w:jc w:val="both"/>
        <w:rPr>
          <w:rFonts w:ascii="Abadi" w:hAnsi="Abadi" w:cstheme="minorHAnsi"/>
          <w:b/>
          <w:sz w:val="20"/>
          <w:szCs w:val="20"/>
          <w:lang w:val="es-ES_tradnl"/>
        </w:rPr>
      </w:pPr>
      <w:r w:rsidRPr="00C80F8E">
        <w:rPr>
          <w:rFonts w:ascii="Abadi" w:hAnsi="Abadi" w:cstheme="minorHAnsi"/>
          <w:sz w:val="20"/>
          <w:szCs w:val="20"/>
          <w:lang w:val="es-ES_tradnl"/>
        </w:rPr>
        <w:t>Los elementos de propiedades, planta y equipos</w:t>
      </w:r>
      <w:r w:rsidR="00526F41" w:rsidRPr="00C80F8E">
        <w:rPr>
          <w:rFonts w:ascii="Abadi" w:hAnsi="Abadi" w:cstheme="minorHAnsi"/>
          <w:sz w:val="20"/>
          <w:szCs w:val="20"/>
          <w:lang w:val="es-ES_tradnl"/>
        </w:rPr>
        <w:t xml:space="preserve"> se deprecian desde la fecha en la que estén instalados y listos para su uso o en el caso de activos construidos</w:t>
      </w:r>
      <w:r w:rsidR="00B52947" w:rsidRPr="00C80F8E">
        <w:rPr>
          <w:rFonts w:ascii="Abadi" w:hAnsi="Abadi" w:cstheme="minorHAnsi"/>
          <w:sz w:val="20"/>
          <w:szCs w:val="20"/>
          <w:lang w:val="es-ES_tradnl"/>
        </w:rPr>
        <w:t xml:space="preserve"> internamente, desde la fecha que el activo esté </w:t>
      </w:r>
      <w:r w:rsidR="00D02E25" w:rsidRPr="00C80F8E">
        <w:rPr>
          <w:rFonts w:ascii="Abadi" w:hAnsi="Abadi" w:cstheme="minorHAnsi"/>
          <w:sz w:val="20"/>
          <w:szCs w:val="20"/>
          <w:lang w:val="es-ES_tradnl"/>
        </w:rPr>
        <w:t>completado y en condiciones de ser usado.</w:t>
      </w:r>
      <w:r w:rsidR="004F0DFB" w:rsidRPr="00C80F8E">
        <w:rPr>
          <w:rFonts w:ascii="Abadi" w:hAnsi="Abadi" w:cstheme="minorHAnsi"/>
          <w:sz w:val="20"/>
          <w:szCs w:val="20"/>
          <w:lang w:val="es-ES_tradnl"/>
        </w:rPr>
        <w:t xml:space="preserve"> </w:t>
      </w:r>
      <w:r w:rsidR="0077590D" w:rsidRPr="00C80F8E">
        <w:rPr>
          <w:rFonts w:ascii="Abadi" w:hAnsi="Abadi" w:cstheme="minorHAnsi"/>
          <w:sz w:val="20"/>
          <w:szCs w:val="20"/>
          <w:lang w:val="es-ES_tradnl"/>
        </w:rPr>
        <w:t xml:space="preserve"> </w:t>
      </w:r>
      <w:r w:rsidR="00D02E25" w:rsidRPr="00C80F8E">
        <w:rPr>
          <w:rFonts w:ascii="Abadi" w:hAnsi="Abadi" w:cstheme="minorHAnsi"/>
          <w:sz w:val="20"/>
          <w:szCs w:val="20"/>
          <w:lang w:val="es-ES_tradnl"/>
        </w:rPr>
        <w:t>El estimado</w:t>
      </w:r>
      <w:r w:rsidR="00C447C4" w:rsidRPr="00C80F8E">
        <w:rPr>
          <w:rFonts w:ascii="Abadi" w:hAnsi="Abadi" w:cstheme="minorHAnsi"/>
          <w:sz w:val="20"/>
          <w:szCs w:val="20"/>
          <w:lang w:val="es-ES_tradnl"/>
        </w:rPr>
        <w:t xml:space="preserve"> de vida</w:t>
      </w:r>
      <w:r w:rsidR="00215AC0" w:rsidRPr="00C80F8E">
        <w:rPr>
          <w:rFonts w:ascii="Abadi" w:hAnsi="Abadi" w:cstheme="minorHAnsi"/>
          <w:sz w:val="20"/>
          <w:szCs w:val="20"/>
          <w:lang w:val="es-ES_tradnl"/>
        </w:rPr>
        <w:t xml:space="preserve"> útil</w:t>
      </w:r>
      <w:r w:rsidR="00C447C4" w:rsidRPr="00C80F8E">
        <w:rPr>
          <w:rFonts w:ascii="Abadi" w:hAnsi="Abadi" w:cstheme="minorHAnsi"/>
          <w:sz w:val="20"/>
          <w:szCs w:val="20"/>
          <w:lang w:val="es-ES_tradnl"/>
        </w:rPr>
        <w:t xml:space="preserve"> de las propiedades, planta y equipos, se realizan en base</w:t>
      </w:r>
      <w:r w:rsidR="007126A5" w:rsidRPr="00C80F8E">
        <w:rPr>
          <w:rFonts w:ascii="Abadi" w:hAnsi="Abadi" w:cstheme="minorHAnsi"/>
          <w:sz w:val="20"/>
          <w:szCs w:val="20"/>
          <w:lang w:val="es-ES_tradnl"/>
        </w:rPr>
        <w:t xml:space="preserve"> a las Normas de Contabilidad Aplicables al Sector Publico</w:t>
      </w:r>
      <w:r w:rsidR="00215AC0" w:rsidRPr="00C80F8E">
        <w:rPr>
          <w:rFonts w:ascii="Abadi" w:hAnsi="Abadi" w:cstheme="minorHAnsi"/>
          <w:sz w:val="20"/>
          <w:szCs w:val="20"/>
          <w:lang w:val="es-ES_tradnl"/>
        </w:rPr>
        <w:t>,</w:t>
      </w:r>
      <w:r w:rsidR="00DE7628" w:rsidRPr="00C80F8E">
        <w:rPr>
          <w:rFonts w:ascii="Abadi" w:hAnsi="Abadi" w:cstheme="minorHAnsi"/>
          <w:sz w:val="20"/>
          <w:szCs w:val="20"/>
          <w:lang w:val="es-ES_tradnl"/>
        </w:rPr>
        <w:t xml:space="preserve"> Normas Generales de </w:t>
      </w:r>
      <w:r w:rsidR="00675CFD" w:rsidRPr="00C80F8E">
        <w:rPr>
          <w:rFonts w:ascii="Abadi" w:hAnsi="Abadi" w:cstheme="minorHAnsi"/>
          <w:sz w:val="20"/>
          <w:szCs w:val="20"/>
          <w:lang w:val="es-ES_tradnl"/>
        </w:rPr>
        <w:t>Valuación</w:t>
      </w:r>
      <w:r w:rsidR="00DE7628" w:rsidRPr="00C80F8E">
        <w:rPr>
          <w:rFonts w:ascii="Abadi" w:hAnsi="Abadi" w:cstheme="minorHAnsi"/>
          <w:sz w:val="20"/>
          <w:szCs w:val="20"/>
          <w:lang w:val="es-ES_tradnl"/>
        </w:rPr>
        <w:t xml:space="preserve"> y </w:t>
      </w:r>
      <w:r w:rsidR="00675CFD" w:rsidRPr="00C80F8E">
        <w:rPr>
          <w:rFonts w:ascii="Abadi" w:hAnsi="Abadi" w:cstheme="minorHAnsi"/>
          <w:sz w:val="20"/>
          <w:szCs w:val="20"/>
          <w:lang w:val="es-ES_tradnl"/>
        </w:rPr>
        <w:t>Presentación</w:t>
      </w:r>
      <w:r w:rsidR="00DE7628" w:rsidRPr="00C80F8E">
        <w:rPr>
          <w:rFonts w:ascii="Abadi" w:hAnsi="Abadi" w:cstheme="minorHAnsi"/>
          <w:sz w:val="20"/>
          <w:szCs w:val="20"/>
          <w:lang w:val="es-ES_tradnl"/>
        </w:rPr>
        <w:t xml:space="preserve"> de la Información Contable Apli</w:t>
      </w:r>
      <w:r w:rsidR="00D24C43" w:rsidRPr="00C80F8E">
        <w:rPr>
          <w:rFonts w:ascii="Abadi" w:hAnsi="Abadi" w:cstheme="minorHAnsi"/>
          <w:sz w:val="20"/>
          <w:szCs w:val="20"/>
          <w:lang w:val="es-ES_tradnl"/>
        </w:rPr>
        <w:t xml:space="preserve">cables al Sector </w:t>
      </w:r>
      <w:r w:rsidR="00675CFD" w:rsidRPr="00C80F8E">
        <w:rPr>
          <w:rFonts w:ascii="Abadi" w:hAnsi="Abadi" w:cstheme="minorHAnsi"/>
          <w:sz w:val="20"/>
          <w:szCs w:val="20"/>
          <w:lang w:val="es-ES_tradnl"/>
        </w:rPr>
        <w:t>Publico</w:t>
      </w:r>
      <w:r w:rsidR="00D24C43" w:rsidRPr="00C80F8E">
        <w:rPr>
          <w:rFonts w:ascii="Abadi" w:hAnsi="Abadi" w:cstheme="minorHAnsi"/>
          <w:sz w:val="20"/>
          <w:szCs w:val="20"/>
          <w:lang w:val="es-ES_tradnl"/>
        </w:rPr>
        <w:t xml:space="preserve">, emitida por la </w:t>
      </w:r>
      <w:r w:rsidR="00675CFD" w:rsidRPr="00C80F8E">
        <w:rPr>
          <w:rFonts w:ascii="Abadi" w:hAnsi="Abadi" w:cstheme="minorHAnsi"/>
          <w:sz w:val="20"/>
          <w:szCs w:val="20"/>
          <w:lang w:val="es-ES_tradnl"/>
        </w:rPr>
        <w:t>Dirección</w:t>
      </w:r>
      <w:r w:rsidR="00D24C43" w:rsidRPr="00C80F8E">
        <w:rPr>
          <w:rFonts w:ascii="Abadi" w:hAnsi="Abadi" w:cstheme="minorHAnsi"/>
          <w:sz w:val="20"/>
          <w:szCs w:val="20"/>
          <w:lang w:val="es-ES_tradnl"/>
        </w:rPr>
        <w:t xml:space="preserve"> General de Contabilidad Gubernamental, como sigue:</w:t>
      </w:r>
    </w:p>
    <w:p w14:paraId="578351E2" w14:textId="77777777" w:rsidR="00C11399" w:rsidRPr="00C80F8E" w:rsidRDefault="00AC2D69" w:rsidP="00B42FA6">
      <w:pPr>
        <w:jc w:val="both"/>
        <w:rPr>
          <w:rFonts w:ascii="Abadi" w:hAnsi="Abadi" w:cstheme="minorHAnsi"/>
          <w:b/>
          <w:sz w:val="20"/>
          <w:szCs w:val="20"/>
          <w:lang w:val="es-ES_tradnl"/>
        </w:rPr>
      </w:pPr>
      <w:r w:rsidRPr="00C80F8E">
        <w:rPr>
          <w:rFonts w:ascii="Abadi" w:hAnsi="Abadi" w:cstheme="minorHAnsi"/>
          <w:b/>
          <w:sz w:val="20"/>
          <w:szCs w:val="20"/>
          <w:lang w:val="es-ES_tradnl"/>
        </w:rPr>
        <w:t>La vida útil para cada tipo de activo es como sigue:</w:t>
      </w:r>
    </w:p>
    <w:tbl>
      <w:tblPr>
        <w:tblW w:w="9410" w:type="dxa"/>
        <w:tblCellMar>
          <w:left w:w="70" w:type="dxa"/>
          <w:right w:w="70" w:type="dxa"/>
        </w:tblCellMar>
        <w:tblLook w:val="04A0" w:firstRow="1" w:lastRow="0" w:firstColumn="1" w:lastColumn="0" w:noHBand="0" w:noVBand="1"/>
      </w:tblPr>
      <w:tblGrid>
        <w:gridCol w:w="385"/>
        <w:gridCol w:w="6128"/>
        <w:gridCol w:w="1465"/>
        <w:gridCol w:w="1432"/>
      </w:tblGrid>
      <w:tr w:rsidR="003E1DE6" w:rsidRPr="00C80F8E" w14:paraId="744409BC" w14:textId="77777777" w:rsidTr="00B743E2">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0070C0"/>
            <w:noWrap/>
            <w:vAlign w:val="center"/>
            <w:hideMark/>
          </w:tcPr>
          <w:p w14:paraId="63E935A6" w14:textId="77777777" w:rsidR="003E1DE6" w:rsidRPr="00C80F8E" w:rsidRDefault="003E1DE6" w:rsidP="003E1DE6">
            <w:pPr>
              <w:spacing w:after="0" w:line="240" w:lineRule="auto"/>
              <w:jc w:val="center"/>
              <w:rPr>
                <w:rFonts w:ascii="Abadi" w:eastAsia="Times New Roman" w:hAnsi="Abadi" w:cstheme="minorHAnsi"/>
                <w:b/>
                <w:bCs/>
                <w:color w:val="FFFFFF" w:themeColor="background1"/>
                <w:sz w:val="20"/>
                <w:szCs w:val="20"/>
                <w:lang w:val="es-ES_tradnl" w:eastAsia="es-MX"/>
              </w:rPr>
            </w:pPr>
            <w:r w:rsidRPr="00C80F8E">
              <w:rPr>
                <w:rFonts w:ascii="Abadi" w:eastAsia="Times New Roman" w:hAnsi="Abadi" w:cstheme="minorHAnsi"/>
                <w:b/>
                <w:bCs/>
                <w:color w:val="FFFFFF" w:themeColor="background1"/>
                <w:sz w:val="20"/>
                <w:szCs w:val="20"/>
                <w:lang w:val="es-ES_tradnl" w:eastAsia="es-MX"/>
              </w:rPr>
              <w:t>Id</w:t>
            </w:r>
          </w:p>
        </w:tc>
        <w:tc>
          <w:tcPr>
            <w:tcW w:w="6128" w:type="dxa"/>
            <w:tcBorders>
              <w:top w:val="single" w:sz="4" w:space="0" w:color="000000"/>
              <w:left w:val="nil"/>
              <w:bottom w:val="single" w:sz="4" w:space="0" w:color="000000"/>
              <w:right w:val="single" w:sz="4" w:space="0" w:color="000000"/>
            </w:tcBorders>
            <w:shd w:val="clear" w:color="auto" w:fill="0070C0"/>
            <w:noWrap/>
            <w:vAlign w:val="center"/>
            <w:hideMark/>
          </w:tcPr>
          <w:p w14:paraId="04BC0663" w14:textId="77777777" w:rsidR="003E1DE6" w:rsidRPr="00C80F8E" w:rsidRDefault="003E1DE6" w:rsidP="003E1DE6">
            <w:pPr>
              <w:spacing w:after="0" w:line="240" w:lineRule="auto"/>
              <w:jc w:val="center"/>
              <w:rPr>
                <w:rFonts w:ascii="Abadi" w:eastAsia="Times New Roman" w:hAnsi="Abadi" w:cstheme="minorHAnsi"/>
                <w:b/>
                <w:bCs/>
                <w:color w:val="FFFFFF" w:themeColor="background1"/>
                <w:sz w:val="20"/>
                <w:szCs w:val="20"/>
                <w:lang w:val="es-ES_tradnl" w:eastAsia="es-MX"/>
              </w:rPr>
            </w:pPr>
            <w:r w:rsidRPr="00C80F8E">
              <w:rPr>
                <w:rFonts w:ascii="Abadi" w:eastAsia="Times New Roman" w:hAnsi="Abadi" w:cstheme="minorHAnsi"/>
                <w:b/>
                <w:bCs/>
                <w:color w:val="FFFFFF" w:themeColor="background1"/>
                <w:sz w:val="20"/>
                <w:szCs w:val="20"/>
                <w:lang w:val="es-ES_tradnl" w:eastAsia="es-MX"/>
              </w:rPr>
              <w:t xml:space="preserve">Clase de Activo </w:t>
            </w:r>
          </w:p>
        </w:tc>
        <w:tc>
          <w:tcPr>
            <w:tcW w:w="1465" w:type="dxa"/>
            <w:tcBorders>
              <w:top w:val="single" w:sz="4" w:space="0" w:color="000000"/>
              <w:left w:val="nil"/>
              <w:bottom w:val="single" w:sz="4" w:space="0" w:color="000000"/>
              <w:right w:val="single" w:sz="4" w:space="0" w:color="000000"/>
            </w:tcBorders>
            <w:shd w:val="clear" w:color="auto" w:fill="0070C0"/>
            <w:vAlign w:val="center"/>
            <w:hideMark/>
          </w:tcPr>
          <w:p w14:paraId="3C4DB8B7" w14:textId="77777777" w:rsidR="003E1DE6" w:rsidRPr="00C80F8E" w:rsidRDefault="003E1DE6" w:rsidP="003E1DE6">
            <w:pPr>
              <w:spacing w:after="0" w:line="240" w:lineRule="auto"/>
              <w:jc w:val="center"/>
              <w:rPr>
                <w:rFonts w:ascii="Abadi" w:eastAsia="Times New Roman" w:hAnsi="Abadi" w:cstheme="minorHAnsi"/>
                <w:b/>
                <w:bCs/>
                <w:color w:val="FFFFFF" w:themeColor="background1"/>
                <w:sz w:val="20"/>
                <w:szCs w:val="20"/>
                <w:lang w:val="es-ES_tradnl" w:eastAsia="es-MX"/>
              </w:rPr>
            </w:pPr>
            <w:r w:rsidRPr="00C80F8E">
              <w:rPr>
                <w:rFonts w:ascii="Abadi" w:eastAsia="Times New Roman" w:hAnsi="Abadi" w:cstheme="minorHAnsi"/>
                <w:b/>
                <w:bCs/>
                <w:color w:val="FFFFFF" w:themeColor="background1"/>
                <w:sz w:val="20"/>
                <w:szCs w:val="20"/>
                <w:lang w:val="es-ES_tradnl" w:eastAsia="es-MX"/>
              </w:rPr>
              <w:t>Años de vida útil</w:t>
            </w:r>
          </w:p>
        </w:tc>
        <w:tc>
          <w:tcPr>
            <w:tcW w:w="1432" w:type="dxa"/>
            <w:tcBorders>
              <w:top w:val="single" w:sz="4" w:space="0" w:color="000000"/>
              <w:left w:val="nil"/>
              <w:bottom w:val="single" w:sz="4" w:space="0" w:color="000000"/>
              <w:right w:val="single" w:sz="4" w:space="0" w:color="000000"/>
            </w:tcBorders>
            <w:shd w:val="clear" w:color="auto" w:fill="0070C0"/>
            <w:vAlign w:val="center"/>
            <w:hideMark/>
          </w:tcPr>
          <w:p w14:paraId="0CB41987" w14:textId="77777777" w:rsidR="003E1DE6" w:rsidRPr="00C80F8E" w:rsidRDefault="003E1DE6" w:rsidP="003E1DE6">
            <w:pPr>
              <w:spacing w:after="0" w:line="240" w:lineRule="auto"/>
              <w:jc w:val="center"/>
              <w:rPr>
                <w:rFonts w:ascii="Abadi" w:eastAsia="Times New Roman" w:hAnsi="Abadi" w:cstheme="minorHAnsi"/>
                <w:b/>
                <w:bCs/>
                <w:color w:val="FFFFFF" w:themeColor="background1"/>
                <w:sz w:val="20"/>
                <w:szCs w:val="20"/>
                <w:lang w:val="es-ES_tradnl" w:eastAsia="es-MX"/>
              </w:rPr>
            </w:pPr>
            <w:r w:rsidRPr="00C80F8E">
              <w:rPr>
                <w:rFonts w:ascii="Abadi" w:eastAsia="Times New Roman" w:hAnsi="Abadi" w:cstheme="minorHAnsi"/>
                <w:b/>
                <w:bCs/>
                <w:color w:val="FFFFFF" w:themeColor="background1"/>
                <w:sz w:val="20"/>
                <w:szCs w:val="20"/>
                <w:lang w:val="es-ES_tradnl" w:eastAsia="es-MX"/>
              </w:rPr>
              <w:t>% Depreciación</w:t>
            </w:r>
          </w:p>
        </w:tc>
      </w:tr>
      <w:tr w:rsidR="003E1DE6" w:rsidRPr="00C80F8E" w14:paraId="07094E77"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71366C40" w14:textId="77777777" w:rsidR="003E1DE6" w:rsidRPr="00C80F8E" w:rsidRDefault="003E1DE6" w:rsidP="003E1DE6">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1</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4FE3D64D" w14:textId="77777777" w:rsidR="003E1DE6" w:rsidRPr="00C80F8E" w:rsidRDefault="003E1DE6" w:rsidP="003E1DE6">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Propiedades, planta y equipos no concesionados</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72A115F8" w14:textId="77777777" w:rsidR="003E1DE6" w:rsidRPr="00C80F8E" w:rsidRDefault="00212BFB"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50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28D4CEAB" w14:textId="77777777" w:rsidR="003E1DE6" w:rsidRPr="00C80F8E" w:rsidRDefault="00212BFB"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2</w:t>
            </w:r>
          </w:p>
        </w:tc>
      </w:tr>
      <w:tr w:rsidR="003E1DE6" w:rsidRPr="00C80F8E" w14:paraId="5EEA69B1"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0B13E4A1" w14:textId="77777777" w:rsidR="003E1DE6" w:rsidRPr="00C80F8E" w:rsidRDefault="00FA1494" w:rsidP="003E1DE6">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2</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1536AD36" w14:textId="77777777" w:rsidR="003E1DE6" w:rsidRPr="00C80F8E" w:rsidRDefault="003E1DE6" w:rsidP="003E1DE6">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Equipos de transporte, tracción y elevación</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6D9FB759" w14:textId="77777777" w:rsidR="003E1DE6" w:rsidRPr="00C80F8E" w:rsidRDefault="00212BFB"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10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2349BD28" w14:textId="77777777" w:rsidR="003E1DE6" w:rsidRPr="00C80F8E" w:rsidRDefault="00212BFB" w:rsidP="00025623">
            <w:pPr>
              <w:spacing w:after="0" w:line="240" w:lineRule="auto"/>
              <w:jc w:val="center"/>
              <w:rPr>
                <w:rFonts w:ascii="Abadi" w:eastAsia="Times New Roman" w:hAnsi="Abadi" w:cstheme="minorHAnsi"/>
                <w:color w:val="FF0000"/>
                <w:sz w:val="20"/>
                <w:szCs w:val="20"/>
                <w:lang w:val="es-ES_tradnl" w:eastAsia="es-MX"/>
              </w:rPr>
            </w:pPr>
            <w:r w:rsidRPr="00C80F8E">
              <w:rPr>
                <w:rFonts w:ascii="Abadi" w:eastAsia="Times New Roman" w:hAnsi="Abadi" w:cstheme="minorHAnsi"/>
                <w:sz w:val="20"/>
                <w:szCs w:val="20"/>
                <w:lang w:val="es-ES_tradnl" w:eastAsia="es-MX"/>
              </w:rPr>
              <w:t>10</w:t>
            </w:r>
          </w:p>
        </w:tc>
      </w:tr>
      <w:tr w:rsidR="006304CA" w:rsidRPr="00C80F8E" w14:paraId="22CEE785"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61E5940C" w14:textId="77777777" w:rsidR="006304CA" w:rsidRPr="00C80F8E" w:rsidRDefault="006304CA" w:rsidP="006304CA">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3</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3F6D8E04" w14:textId="77777777" w:rsidR="006304CA" w:rsidRPr="00C80F8E" w:rsidRDefault="006304CA" w:rsidP="006304CA">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Maquinarias y equipos especializados</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68EDFA61" w14:textId="77777777" w:rsidR="006304CA" w:rsidRPr="00C80F8E" w:rsidRDefault="006304CA" w:rsidP="00025623">
            <w:pPr>
              <w:spacing w:after="0" w:line="240" w:lineRule="auto"/>
              <w:jc w:val="center"/>
              <w:rPr>
                <w:rFonts w:ascii="Abadi" w:eastAsia="Times New Roman" w:hAnsi="Abadi" w:cstheme="minorHAnsi"/>
                <w:color w:val="FF0000"/>
                <w:sz w:val="20"/>
                <w:szCs w:val="20"/>
                <w:lang w:val="es-ES_tradnl" w:eastAsia="es-MX"/>
              </w:rPr>
            </w:pPr>
            <w:r w:rsidRPr="00C80F8E">
              <w:rPr>
                <w:rFonts w:ascii="Abadi" w:eastAsia="Times New Roman" w:hAnsi="Abadi" w:cstheme="minorHAnsi"/>
                <w:sz w:val="20"/>
                <w:szCs w:val="20"/>
                <w:lang w:val="es-ES_tradnl" w:eastAsia="es-MX"/>
              </w:rPr>
              <w:t>10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0CAB4DA8" w14:textId="77777777" w:rsidR="006304CA" w:rsidRPr="00C80F8E" w:rsidRDefault="006304CA" w:rsidP="00025623">
            <w:pPr>
              <w:spacing w:after="0" w:line="240" w:lineRule="auto"/>
              <w:jc w:val="center"/>
              <w:rPr>
                <w:rFonts w:ascii="Abadi" w:eastAsia="Times New Roman" w:hAnsi="Abadi" w:cstheme="minorHAnsi"/>
                <w:color w:val="FF0000"/>
                <w:sz w:val="20"/>
                <w:szCs w:val="20"/>
                <w:lang w:val="es-ES_tradnl" w:eastAsia="es-MX"/>
              </w:rPr>
            </w:pPr>
            <w:r w:rsidRPr="00C80F8E">
              <w:rPr>
                <w:rFonts w:ascii="Abadi" w:eastAsia="Times New Roman" w:hAnsi="Abadi" w:cstheme="minorHAnsi"/>
                <w:sz w:val="20"/>
                <w:szCs w:val="20"/>
                <w:lang w:val="es-ES_tradnl" w:eastAsia="es-MX"/>
              </w:rPr>
              <w:t>10</w:t>
            </w:r>
          </w:p>
        </w:tc>
      </w:tr>
      <w:tr w:rsidR="006304CA" w:rsidRPr="00C80F8E" w14:paraId="39A5A9DC"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7694A9B6" w14:textId="77777777" w:rsidR="006304CA" w:rsidRPr="00C80F8E" w:rsidRDefault="006304CA" w:rsidP="006304CA">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4</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403FA780" w14:textId="77777777" w:rsidR="006304CA" w:rsidRPr="00C80F8E" w:rsidRDefault="006304CA" w:rsidP="006304CA">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Equipo e instrumental médico, científico y de laboratorio</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6509A10E" w14:textId="77777777" w:rsidR="006304CA" w:rsidRPr="00C80F8E" w:rsidRDefault="00C448BC" w:rsidP="00025623">
            <w:pPr>
              <w:spacing w:after="0" w:line="240" w:lineRule="auto"/>
              <w:jc w:val="center"/>
              <w:rPr>
                <w:rFonts w:ascii="Abadi" w:eastAsia="Times New Roman" w:hAnsi="Abadi" w:cstheme="minorHAnsi"/>
                <w:color w:val="FF0000"/>
                <w:sz w:val="20"/>
                <w:szCs w:val="20"/>
                <w:lang w:val="es-ES_tradnl" w:eastAsia="es-MX"/>
              </w:rPr>
            </w:pPr>
            <w:r w:rsidRPr="00C80F8E">
              <w:rPr>
                <w:rFonts w:ascii="Abadi" w:eastAsia="Times New Roman" w:hAnsi="Abadi" w:cstheme="minorHAnsi"/>
                <w:sz w:val="20"/>
                <w:szCs w:val="20"/>
                <w:lang w:val="es-ES_tradnl" w:eastAsia="es-MX"/>
              </w:rPr>
              <w:t>5</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3D7481D5" w14:textId="77777777" w:rsidR="006304CA" w:rsidRPr="00C80F8E" w:rsidRDefault="00C448BC" w:rsidP="00025623">
            <w:pPr>
              <w:spacing w:after="0" w:line="240" w:lineRule="auto"/>
              <w:jc w:val="center"/>
              <w:rPr>
                <w:rFonts w:ascii="Abadi" w:eastAsia="Times New Roman" w:hAnsi="Abadi" w:cstheme="minorHAnsi"/>
                <w:color w:val="FF0000"/>
                <w:sz w:val="20"/>
                <w:szCs w:val="20"/>
                <w:lang w:val="es-ES_tradnl" w:eastAsia="es-MX"/>
              </w:rPr>
            </w:pPr>
            <w:r w:rsidRPr="00C80F8E">
              <w:rPr>
                <w:rFonts w:ascii="Abadi" w:eastAsia="Times New Roman" w:hAnsi="Abadi" w:cstheme="minorHAnsi"/>
                <w:sz w:val="20"/>
                <w:szCs w:val="20"/>
                <w:lang w:val="es-ES_tradnl" w:eastAsia="es-MX"/>
              </w:rPr>
              <w:t>20</w:t>
            </w:r>
          </w:p>
        </w:tc>
      </w:tr>
      <w:tr w:rsidR="003E1DE6" w:rsidRPr="00C80F8E" w14:paraId="31A8AB0D"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66CCFF" w:fill="FFFFFF" w:themeFill="background1"/>
            <w:vAlign w:val="center"/>
            <w:hideMark/>
          </w:tcPr>
          <w:p w14:paraId="237242D4" w14:textId="77777777" w:rsidR="003E1DE6" w:rsidRPr="00C80F8E" w:rsidRDefault="000915C7" w:rsidP="003E1DE6">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5</w:t>
            </w:r>
          </w:p>
        </w:tc>
        <w:tc>
          <w:tcPr>
            <w:tcW w:w="6128"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717A73B0" w14:textId="77777777" w:rsidR="003E1DE6" w:rsidRPr="00C80F8E" w:rsidRDefault="003E1DE6" w:rsidP="003E1DE6">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Equipos y mobiliario de oficina y alojamiento</w:t>
            </w:r>
          </w:p>
        </w:tc>
        <w:tc>
          <w:tcPr>
            <w:tcW w:w="1465"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01B51B61" w14:textId="77777777" w:rsidR="003E1DE6" w:rsidRPr="00C80F8E" w:rsidRDefault="000915C7"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10</w:t>
            </w:r>
          </w:p>
        </w:tc>
        <w:tc>
          <w:tcPr>
            <w:tcW w:w="1432" w:type="dxa"/>
            <w:tcBorders>
              <w:top w:val="single" w:sz="4" w:space="0" w:color="000000"/>
              <w:left w:val="nil"/>
              <w:bottom w:val="single" w:sz="4" w:space="0" w:color="000000"/>
              <w:right w:val="single" w:sz="4" w:space="0" w:color="000000"/>
            </w:tcBorders>
            <w:shd w:val="clear" w:color="66CCFF" w:fill="FFFFFF" w:themeFill="background1"/>
            <w:vAlign w:val="center"/>
            <w:hideMark/>
          </w:tcPr>
          <w:p w14:paraId="1BE81635" w14:textId="77777777" w:rsidR="003E1DE6" w:rsidRPr="00C80F8E" w:rsidRDefault="000915C7"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10</w:t>
            </w:r>
          </w:p>
        </w:tc>
      </w:tr>
      <w:tr w:rsidR="003E1DE6" w:rsidRPr="00C80F8E" w14:paraId="1B4F3906"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vAlign w:val="center"/>
            <w:hideMark/>
          </w:tcPr>
          <w:p w14:paraId="2EB6DA41" w14:textId="77777777" w:rsidR="003E1DE6" w:rsidRPr="00C80F8E" w:rsidRDefault="003E1DE6" w:rsidP="003E1DE6">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6</w:t>
            </w:r>
          </w:p>
        </w:tc>
        <w:tc>
          <w:tcPr>
            <w:tcW w:w="6128" w:type="dxa"/>
            <w:tcBorders>
              <w:top w:val="single" w:sz="4" w:space="0" w:color="000000"/>
              <w:left w:val="nil"/>
              <w:bottom w:val="single" w:sz="4" w:space="0" w:color="000000"/>
              <w:right w:val="single" w:sz="4" w:space="0" w:color="000000"/>
            </w:tcBorders>
            <w:vAlign w:val="center"/>
            <w:hideMark/>
          </w:tcPr>
          <w:p w14:paraId="37DFC2DC" w14:textId="77777777" w:rsidR="003E1DE6" w:rsidRPr="00C80F8E" w:rsidRDefault="003E1DE6" w:rsidP="003E1DE6">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Equipos de Cómputo</w:t>
            </w:r>
          </w:p>
        </w:tc>
        <w:tc>
          <w:tcPr>
            <w:tcW w:w="1465" w:type="dxa"/>
            <w:tcBorders>
              <w:top w:val="single" w:sz="4" w:space="0" w:color="000000"/>
              <w:left w:val="nil"/>
              <w:bottom w:val="single" w:sz="4" w:space="0" w:color="000000"/>
              <w:right w:val="single" w:sz="4" w:space="0" w:color="000000"/>
            </w:tcBorders>
            <w:vAlign w:val="center"/>
            <w:hideMark/>
          </w:tcPr>
          <w:p w14:paraId="1E434432" w14:textId="77777777" w:rsidR="003E1DE6" w:rsidRPr="00C80F8E" w:rsidRDefault="003E1DE6"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5</w:t>
            </w:r>
          </w:p>
        </w:tc>
        <w:tc>
          <w:tcPr>
            <w:tcW w:w="1432" w:type="dxa"/>
            <w:tcBorders>
              <w:top w:val="single" w:sz="4" w:space="0" w:color="000000"/>
              <w:left w:val="nil"/>
              <w:bottom w:val="single" w:sz="4" w:space="0" w:color="000000"/>
              <w:right w:val="single" w:sz="4" w:space="0" w:color="000000"/>
            </w:tcBorders>
            <w:vAlign w:val="center"/>
            <w:hideMark/>
          </w:tcPr>
          <w:p w14:paraId="159BF694" w14:textId="77777777" w:rsidR="003E1DE6" w:rsidRPr="00C80F8E" w:rsidRDefault="003E1DE6"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20</w:t>
            </w:r>
          </w:p>
        </w:tc>
      </w:tr>
      <w:tr w:rsidR="000915C7" w:rsidRPr="00C80F8E" w14:paraId="192A380B"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4B69EE" w14:textId="77777777" w:rsidR="000915C7" w:rsidRPr="00C80F8E" w:rsidRDefault="000915C7"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7</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D2BA5A0"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Equipos y mobiliario educacional, deportivo y recreativo</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E7DE6FB" w14:textId="77777777" w:rsidR="000915C7" w:rsidRPr="00C80F8E" w:rsidRDefault="000915C7"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5</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F130EC3" w14:textId="77777777" w:rsidR="000915C7" w:rsidRPr="00C80F8E" w:rsidRDefault="000915C7"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20</w:t>
            </w:r>
          </w:p>
        </w:tc>
      </w:tr>
      <w:tr w:rsidR="000915C7" w:rsidRPr="00C80F8E" w14:paraId="6D6AF9E9"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3B4B260" w14:textId="77777777" w:rsidR="000915C7" w:rsidRPr="00C80F8E" w:rsidRDefault="008632AC"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8</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62BBF14"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Equipos de defensa, seguridad y orden público</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74E3092" w14:textId="77777777" w:rsidR="000915C7" w:rsidRPr="00C80F8E" w:rsidRDefault="008632AC"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10</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DA9FD66" w14:textId="77777777" w:rsidR="000915C7" w:rsidRPr="00C80F8E" w:rsidRDefault="008632AC"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10</w:t>
            </w:r>
          </w:p>
        </w:tc>
      </w:tr>
      <w:tr w:rsidR="000915C7" w:rsidRPr="00C80F8E" w14:paraId="27920ADF"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C0240E7" w14:textId="77777777" w:rsidR="000915C7" w:rsidRPr="00C80F8E" w:rsidRDefault="00B9064C"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9</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D80AF11"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 xml:space="preserve">Activos biológicos </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CC8EE27" w14:textId="77777777" w:rsidR="000915C7" w:rsidRPr="00C80F8E" w:rsidRDefault="00E57BAC"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5</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36512E1" w14:textId="77777777" w:rsidR="000915C7" w:rsidRPr="00C80F8E" w:rsidRDefault="00E57BAC"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20</w:t>
            </w:r>
          </w:p>
        </w:tc>
      </w:tr>
      <w:tr w:rsidR="000915C7" w:rsidRPr="00C80F8E" w14:paraId="0D63E4E3"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14:paraId="28B7CB47" w14:textId="77777777" w:rsidR="000915C7" w:rsidRPr="00C80F8E" w:rsidRDefault="00B9064C"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lastRenderedPageBreak/>
              <w:t>10</w:t>
            </w:r>
          </w:p>
        </w:tc>
        <w:tc>
          <w:tcPr>
            <w:tcW w:w="6128"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2DFE3A76"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Árboles</w:t>
            </w:r>
          </w:p>
        </w:tc>
        <w:tc>
          <w:tcPr>
            <w:tcW w:w="1465"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0D158847" w14:textId="77777777" w:rsidR="000915C7" w:rsidRPr="00C80F8E" w:rsidRDefault="000915C7"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10</w:t>
            </w:r>
          </w:p>
        </w:tc>
        <w:tc>
          <w:tcPr>
            <w:tcW w:w="1432"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0E19C33E" w14:textId="77777777" w:rsidR="000915C7" w:rsidRPr="00C80F8E" w:rsidRDefault="000915C7"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10</w:t>
            </w:r>
          </w:p>
        </w:tc>
      </w:tr>
      <w:tr w:rsidR="000915C7" w:rsidRPr="00C80F8E" w14:paraId="4DE38E2B"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509741" w14:textId="77777777" w:rsidR="000915C7" w:rsidRPr="00C80F8E" w:rsidRDefault="00821632"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11</w:t>
            </w:r>
          </w:p>
        </w:tc>
        <w:tc>
          <w:tcPr>
            <w:tcW w:w="61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AC77AB2"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Bienes de infraestructura y de beneficio y uso público en servicio</w:t>
            </w:r>
          </w:p>
        </w:tc>
        <w:tc>
          <w:tcPr>
            <w:tcW w:w="146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1BACF96" w14:textId="77777777" w:rsidR="000915C7" w:rsidRPr="00C80F8E" w:rsidRDefault="00AE4A3F"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50</w:t>
            </w:r>
          </w:p>
        </w:tc>
        <w:tc>
          <w:tcPr>
            <w:tcW w:w="1432"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6BA8DED" w14:textId="77777777" w:rsidR="000915C7" w:rsidRPr="00C80F8E" w:rsidRDefault="00AE4A3F" w:rsidP="00025623">
            <w:pPr>
              <w:spacing w:after="0" w:line="240" w:lineRule="auto"/>
              <w:jc w:val="center"/>
              <w:rPr>
                <w:rFonts w:ascii="Abadi" w:eastAsia="Times New Roman" w:hAnsi="Abadi" w:cstheme="minorHAnsi"/>
                <w:sz w:val="20"/>
                <w:szCs w:val="20"/>
                <w:lang w:val="es-ES_tradnl" w:eastAsia="es-MX"/>
              </w:rPr>
            </w:pPr>
            <w:r w:rsidRPr="00C80F8E">
              <w:rPr>
                <w:rFonts w:ascii="Abadi" w:eastAsia="Times New Roman" w:hAnsi="Abadi" w:cstheme="minorHAnsi"/>
                <w:sz w:val="20"/>
                <w:szCs w:val="20"/>
                <w:lang w:val="es-ES_tradnl" w:eastAsia="es-MX"/>
              </w:rPr>
              <w:t>2</w:t>
            </w:r>
          </w:p>
        </w:tc>
      </w:tr>
      <w:tr w:rsidR="000915C7" w:rsidRPr="00C80F8E" w14:paraId="0C4D3D03"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DDEBF7" w:fill="FFFFFF" w:themeFill="background1"/>
            <w:vAlign w:val="center"/>
            <w:hideMark/>
          </w:tcPr>
          <w:p w14:paraId="2DD1F5FE" w14:textId="77777777" w:rsidR="000915C7" w:rsidRPr="00C80F8E" w:rsidRDefault="00821632"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12</w:t>
            </w:r>
          </w:p>
        </w:tc>
        <w:tc>
          <w:tcPr>
            <w:tcW w:w="6128"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6AD6DA1A"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Obras marítimas y fluviales</w:t>
            </w:r>
          </w:p>
        </w:tc>
        <w:tc>
          <w:tcPr>
            <w:tcW w:w="1465"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4F7A0690" w14:textId="77777777" w:rsidR="000915C7" w:rsidRPr="00C80F8E" w:rsidRDefault="007B6E32"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50</w:t>
            </w:r>
          </w:p>
        </w:tc>
        <w:tc>
          <w:tcPr>
            <w:tcW w:w="1432"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175AAA8A" w14:textId="77777777" w:rsidR="000915C7" w:rsidRPr="00C80F8E" w:rsidRDefault="007B6E32"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2</w:t>
            </w:r>
          </w:p>
        </w:tc>
      </w:tr>
      <w:tr w:rsidR="000915C7" w:rsidRPr="00C80F8E" w14:paraId="165F15B6"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shd w:val="clear" w:color="DDEBF7" w:fill="FFFFFF" w:themeFill="background1"/>
            <w:vAlign w:val="center"/>
            <w:hideMark/>
          </w:tcPr>
          <w:p w14:paraId="0A2A5D81" w14:textId="77777777" w:rsidR="000915C7" w:rsidRPr="00C80F8E" w:rsidRDefault="00821632"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13</w:t>
            </w:r>
          </w:p>
        </w:tc>
        <w:tc>
          <w:tcPr>
            <w:tcW w:w="6128"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1651E74C"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Centrales y redes de comunicación y energía</w:t>
            </w:r>
          </w:p>
        </w:tc>
        <w:tc>
          <w:tcPr>
            <w:tcW w:w="1465"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5F230262" w14:textId="77777777" w:rsidR="000915C7" w:rsidRPr="00C80F8E" w:rsidRDefault="001B0B1F"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20</w:t>
            </w:r>
          </w:p>
        </w:tc>
        <w:tc>
          <w:tcPr>
            <w:tcW w:w="1432" w:type="dxa"/>
            <w:tcBorders>
              <w:top w:val="single" w:sz="4" w:space="0" w:color="000000"/>
              <w:left w:val="nil"/>
              <w:bottom w:val="single" w:sz="4" w:space="0" w:color="000000"/>
              <w:right w:val="single" w:sz="4" w:space="0" w:color="000000"/>
            </w:tcBorders>
            <w:shd w:val="clear" w:color="DDEBF7" w:fill="FFFFFF" w:themeFill="background1"/>
            <w:vAlign w:val="center"/>
            <w:hideMark/>
          </w:tcPr>
          <w:p w14:paraId="5D1F5725" w14:textId="77777777" w:rsidR="000915C7" w:rsidRPr="00C80F8E" w:rsidRDefault="001B0B1F"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5</w:t>
            </w:r>
          </w:p>
        </w:tc>
      </w:tr>
      <w:tr w:rsidR="000915C7" w:rsidRPr="00C80F8E" w14:paraId="32B2D6E7"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vAlign w:val="center"/>
            <w:hideMark/>
          </w:tcPr>
          <w:p w14:paraId="58D0B6D7" w14:textId="77777777" w:rsidR="000915C7" w:rsidRPr="00C80F8E" w:rsidRDefault="00821632"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14</w:t>
            </w:r>
          </w:p>
        </w:tc>
        <w:tc>
          <w:tcPr>
            <w:tcW w:w="6128" w:type="dxa"/>
            <w:tcBorders>
              <w:top w:val="single" w:sz="4" w:space="0" w:color="000000"/>
              <w:left w:val="nil"/>
              <w:bottom w:val="single" w:sz="4" w:space="0" w:color="000000"/>
              <w:right w:val="single" w:sz="4" w:space="0" w:color="000000"/>
            </w:tcBorders>
            <w:vAlign w:val="center"/>
            <w:hideMark/>
          </w:tcPr>
          <w:p w14:paraId="5A033A22"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Plazas y parques</w:t>
            </w:r>
          </w:p>
        </w:tc>
        <w:tc>
          <w:tcPr>
            <w:tcW w:w="1465" w:type="dxa"/>
            <w:tcBorders>
              <w:top w:val="single" w:sz="4" w:space="0" w:color="000000"/>
              <w:left w:val="nil"/>
              <w:bottom w:val="single" w:sz="4" w:space="0" w:color="000000"/>
              <w:right w:val="single" w:sz="4" w:space="0" w:color="000000"/>
            </w:tcBorders>
            <w:vAlign w:val="center"/>
            <w:hideMark/>
          </w:tcPr>
          <w:p w14:paraId="48DA16FF" w14:textId="77777777" w:rsidR="000915C7" w:rsidRPr="00C80F8E" w:rsidRDefault="000915C7"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50</w:t>
            </w:r>
          </w:p>
        </w:tc>
        <w:tc>
          <w:tcPr>
            <w:tcW w:w="1432" w:type="dxa"/>
            <w:tcBorders>
              <w:top w:val="single" w:sz="4" w:space="0" w:color="000000"/>
              <w:left w:val="nil"/>
              <w:bottom w:val="single" w:sz="4" w:space="0" w:color="000000"/>
              <w:right w:val="single" w:sz="4" w:space="0" w:color="000000"/>
            </w:tcBorders>
            <w:vAlign w:val="center"/>
            <w:hideMark/>
          </w:tcPr>
          <w:p w14:paraId="71B11D02" w14:textId="77777777" w:rsidR="000915C7" w:rsidRPr="00C80F8E" w:rsidRDefault="000915C7"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2</w:t>
            </w:r>
          </w:p>
        </w:tc>
      </w:tr>
      <w:tr w:rsidR="000915C7" w:rsidRPr="00C80F8E" w14:paraId="24FC3020"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vAlign w:val="center"/>
            <w:hideMark/>
          </w:tcPr>
          <w:p w14:paraId="11EB3B74" w14:textId="77777777" w:rsidR="000915C7" w:rsidRPr="00C80F8E" w:rsidRDefault="00821632"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15</w:t>
            </w:r>
          </w:p>
        </w:tc>
        <w:tc>
          <w:tcPr>
            <w:tcW w:w="6128" w:type="dxa"/>
            <w:tcBorders>
              <w:top w:val="single" w:sz="4" w:space="0" w:color="000000"/>
              <w:left w:val="nil"/>
              <w:bottom w:val="single" w:sz="4" w:space="0" w:color="000000"/>
              <w:right w:val="single" w:sz="4" w:space="0" w:color="000000"/>
            </w:tcBorders>
            <w:vAlign w:val="center"/>
            <w:hideMark/>
          </w:tcPr>
          <w:p w14:paraId="08549B53" w14:textId="77777777" w:rsidR="000915C7" w:rsidRPr="00C80F8E" w:rsidRDefault="000915C7"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Programas de informática y base de datos</w:t>
            </w:r>
          </w:p>
        </w:tc>
        <w:tc>
          <w:tcPr>
            <w:tcW w:w="1465" w:type="dxa"/>
            <w:tcBorders>
              <w:top w:val="single" w:sz="4" w:space="0" w:color="000000"/>
              <w:left w:val="nil"/>
              <w:bottom w:val="single" w:sz="4" w:space="0" w:color="000000"/>
              <w:right w:val="single" w:sz="4" w:space="0" w:color="000000"/>
            </w:tcBorders>
            <w:vAlign w:val="center"/>
            <w:hideMark/>
          </w:tcPr>
          <w:p w14:paraId="30D76BE3" w14:textId="77777777" w:rsidR="000915C7" w:rsidRPr="00C80F8E" w:rsidRDefault="000915C7"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3</w:t>
            </w:r>
          </w:p>
        </w:tc>
        <w:tc>
          <w:tcPr>
            <w:tcW w:w="1432" w:type="dxa"/>
            <w:tcBorders>
              <w:top w:val="single" w:sz="4" w:space="0" w:color="000000"/>
              <w:left w:val="nil"/>
              <w:bottom w:val="single" w:sz="4" w:space="0" w:color="000000"/>
              <w:right w:val="single" w:sz="4" w:space="0" w:color="000000"/>
            </w:tcBorders>
            <w:vAlign w:val="center"/>
            <w:hideMark/>
          </w:tcPr>
          <w:p w14:paraId="5352A7CC" w14:textId="77777777" w:rsidR="000915C7" w:rsidRPr="00C80F8E" w:rsidRDefault="000915C7"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33</w:t>
            </w:r>
          </w:p>
        </w:tc>
      </w:tr>
      <w:tr w:rsidR="00E22378" w:rsidRPr="00C80F8E" w14:paraId="7C3FE26C" w14:textId="77777777" w:rsidTr="00512058">
        <w:trPr>
          <w:trHeight w:val="318"/>
        </w:trPr>
        <w:tc>
          <w:tcPr>
            <w:tcW w:w="385" w:type="dxa"/>
            <w:tcBorders>
              <w:top w:val="single" w:sz="4" w:space="0" w:color="000000"/>
              <w:left w:val="single" w:sz="4" w:space="0" w:color="000000"/>
              <w:bottom w:val="single" w:sz="4" w:space="0" w:color="000000"/>
              <w:right w:val="single" w:sz="4" w:space="0" w:color="000000"/>
            </w:tcBorders>
            <w:vAlign w:val="center"/>
          </w:tcPr>
          <w:p w14:paraId="79CF0E7E" w14:textId="77777777" w:rsidR="00E22378" w:rsidRPr="00C80F8E" w:rsidRDefault="00E22378" w:rsidP="000915C7">
            <w:pPr>
              <w:spacing w:after="0" w:line="240" w:lineRule="auto"/>
              <w:jc w:val="right"/>
              <w:rPr>
                <w:rFonts w:ascii="Abadi" w:eastAsia="Times New Roman" w:hAnsi="Abadi" w:cstheme="minorHAnsi"/>
                <w:b/>
                <w:bCs/>
                <w:color w:val="000000"/>
                <w:sz w:val="20"/>
                <w:szCs w:val="20"/>
                <w:lang w:val="es-ES_tradnl" w:eastAsia="es-MX"/>
              </w:rPr>
            </w:pPr>
            <w:r w:rsidRPr="00C80F8E">
              <w:rPr>
                <w:rFonts w:ascii="Abadi" w:eastAsia="Times New Roman" w:hAnsi="Abadi" w:cstheme="minorHAnsi"/>
                <w:b/>
                <w:bCs/>
                <w:color w:val="000000"/>
                <w:sz w:val="20"/>
                <w:szCs w:val="20"/>
                <w:lang w:val="es-ES_tradnl" w:eastAsia="es-MX"/>
              </w:rPr>
              <w:t>16</w:t>
            </w:r>
          </w:p>
        </w:tc>
        <w:tc>
          <w:tcPr>
            <w:tcW w:w="6128" w:type="dxa"/>
            <w:tcBorders>
              <w:top w:val="single" w:sz="4" w:space="0" w:color="000000"/>
              <w:left w:val="nil"/>
              <w:bottom w:val="single" w:sz="4" w:space="0" w:color="000000"/>
              <w:right w:val="single" w:sz="4" w:space="0" w:color="000000"/>
            </w:tcBorders>
            <w:vAlign w:val="center"/>
          </w:tcPr>
          <w:p w14:paraId="176BF3EF" w14:textId="77777777" w:rsidR="00E22378" w:rsidRPr="00C80F8E" w:rsidRDefault="00E22378" w:rsidP="000915C7">
            <w:pPr>
              <w:spacing w:after="0" w:line="240" w:lineRule="auto"/>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Obras de Artes y Elementos Coleccionables</w:t>
            </w:r>
          </w:p>
        </w:tc>
        <w:tc>
          <w:tcPr>
            <w:tcW w:w="1465" w:type="dxa"/>
            <w:tcBorders>
              <w:top w:val="single" w:sz="4" w:space="0" w:color="000000"/>
              <w:left w:val="nil"/>
              <w:bottom w:val="single" w:sz="4" w:space="0" w:color="000000"/>
              <w:right w:val="single" w:sz="4" w:space="0" w:color="000000"/>
            </w:tcBorders>
            <w:vAlign w:val="center"/>
          </w:tcPr>
          <w:p w14:paraId="2379CA8E" w14:textId="77777777" w:rsidR="00E22378" w:rsidRPr="00C80F8E" w:rsidRDefault="00DB11D4"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Según el Bien</w:t>
            </w:r>
          </w:p>
        </w:tc>
        <w:tc>
          <w:tcPr>
            <w:tcW w:w="1432" w:type="dxa"/>
            <w:tcBorders>
              <w:top w:val="single" w:sz="4" w:space="0" w:color="000000"/>
              <w:left w:val="nil"/>
              <w:bottom w:val="single" w:sz="4" w:space="0" w:color="000000"/>
              <w:right w:val="single" w:sz="4" w:space="0" w:color="000000"/>
            </w:tcBorders>
            <w:vAlign w:val="center"/>
          </w:tcPr>
          <w:p w14:paraId="125C5BF1" w14:textId="77777777" w:rsidR="00E22378" w:rsidRPr="00C80F8E" w:rsidRDefault="00DB11D4" w:rsidP="00025623">
            <w:pPr>
              <w:spacing w:after="0" w:line="240" w:lineRule="auto"/>
              <w:jc w:val="center"/>
              <w:rPr>
                <w:rFonts w:ascii="Abadi" w:eastAsia="Times New Roman" w:hAnsi="Abadi" w:cstheme="minorHAnsi"/>
                <w:color w:val="000000"/>
                <w:sz w:val="20"/>
                <w:szCs w:val="20"/>
                <w:lang w:val="es-ES_tradnl" w:eastAsia="es-MX"/>
              </w:rPr>
            </w:pPr>
            <w:r w:rsidRPr="00C80F8E">
              <w:rPr>
                <w:rFonts w:ascii="Abadi" w:eastAsia="Times New Roman" w:hAnsi="Abadi" w:cstheme="minorHAnsi"/>
                <w:color w:val="000000"/>
                <w:sz w:val="20"/>
                <w:szCs w:val="20"/>
                <w:lang w:val="es-ES_tradnl" w:eastAsia="es-MX"/>
              </w:rPr>
              <w:t>Según el Bien</w:t>
            </w:r>
          </w:p>
        </w:tc>
      </w:tr>
    </w:tbl>
    <w:p w14:paraId="6A8994D1" w14:textId="77777777" w:rsidR="00307270" w:rsidRPr="00C80F8E" w:rsidRDefault="00307270" w:rsidP="00B42FA6">
      <w:pPr>
        <w:jc w:val="both"/>
        <w:rPr>
          <w:rFonts w:ascii="Abadi" w:hAnsi="Abadi" w:cstheme="minorHAnsi"/>
          <w:b/>
          <w:bCs/>
          <w:sz w:val="20"/>
          <w:szCs w:val="20"/>
          <w:lang w:val="es-ES_tradnl"/>
        </w:rPr>
      </w:pPr>
    </w:p>
    <w:p w14:paraId="1D66DA06" w14:textId="013F0AAF" w:rsidR="00B66980" w:rsidRPr="00C80F8E" w:rsidRDefault="00AD0998" w:rsidP="00B42FA6">
      <w:pPr>
        <w:jc w:val="both"/>
        <w:rPr>
          <w:rFonts w:ascii="Abadi" w:hAnsi="Abadi" w:cstheme="minorHAnsi"/>
          <w:b/>
          <w:sz w:val="20"/>
          <w:szCs w:val="20"/>
          <w:lang w:val="es-ES_tradnl"/>
        </w:rPr>
      </w:pPr>
      <w:r w:rsidRPr="00C80F8E">
        <w:rPr>
          <w:rFonts w:ascii="Abadi" w:hAnsi="Abadi" w:cstheme="minorHAnsi"/>
          <w:b/>
          <w:bCs/>
          <w:sz w:val="20"/>
          <w:szCs w:val="20"/>
          <w:lang w:val="es-ES_tradnl"/>
        </w:rPr>
        <w:t>6.3.</w:t>
      </w:r>
      <w:r w:rsidR="008808B4" w:rsidRPr="00C80F8E">
        <w:rPr>
          <w:rFonts w:ascii="Abadi" w:hAnsi="Abadi" w:cstheme="minorHAnsi"/>
          <w:b/>
          <w:bCs/>
          <w:sz w:val="20"/>
          <w:szCs w:val="20"/>
          <w:lang w:val="es-ES_tradnl"/>
        </w:rPr>
        <w:t>3</w:t>
      </w:r>
      <w:r w:rsidR="008808B4" w:rsidRPr="00C80F8E">
        <w:rPr>
          <w:rFonts w:ascii="Abadi" w:hAnsi="Abadi" w:cstheme="minorHAnsi"/>
          <w:b/>
          <w:bCs/>
          <w:sz w:val="20"/>
          <w:szCs w:val="20"/>
          <w:lang w:val="es-ES_tradnl"/>
        </w:rPr>
        <w:tab/>
      </w:r>
      <w:r w:rsidR="00675CFD" w:rsidRPr="00C80F8E">
        <w:rPr>
          <w:rFonts w:ascii="Abadi" w:hAnsi="Abadi" w:cstheme="minorHAnsi"/>
          <w:b/>
          <w:sz w:val="20"/>
          <w:szCs w:val="20"/>
          <w:lang w:val="es-ES_tradnl"/>
        </w:rPr>
        <w:t>Revaluación</w:t>
      </w:r>
      <w:r w:rsidR="00164210" w:rsidRPr="00C80F8E">
        <w:rPr>
          <w:rFonts w:ascii="Abadi" w:hAnsi="Abadi" w:cstheme="minorHAnsi"/>
          <w:b/>
          <w:sz w:val="20"/>
          <w:szCs w:val="20"/>
          <w:lang w:val="es-ES_tradnl"/>
        </w:rPr>
        <w:t xml:space="preserve"> y Devaluaciones:</w:t>
      </w:r>
    </w:p>
    <w:p w14:paraId="0DC6D9F8" w14:textId="6AA7C8F6" w:rsidR="00164210" w:rsidRPr="00C80F8E" w:rsidRDefault="000F7D83" w:rsidP="00B42FA6">
      <w:pPr>
        <w:jc w:val="both"/>
        <w:rPr>
          <w:rFonts w:ascii="Abadi" w:hAnsi="Abadi" w:cstheme="minorHAnsi"/>
          <w:bCs/>
          <w:sz w:val="20"/>
          <w:szCs w:val="20"/>
          <w:lang w:val="es-ES_tradnl"/>
        </w:rPr>
      </w:pPr>
      <w:r w:rsidRPr="00C80F8E">
        <w:rPr>
          <w:rFonts w:ascii="Abadi" w:hAnsi="Abadi" w:cstheme="minorHAnsi"/>
          <w:bCs/>
          <w:sz w:val="20"/>
          <w:szCs w:val="20"/>
          <w:lang w:val="es-ES_tradnl"/>
        </w:rPr>
        <w:t>La Superintendencia</w:t>
      </w:r>
      <w:r w:rsidR="00164210" w:rsidRPr="00C80F8E">
        <w:rPr>
          <w:rFonts w:ascii="Abadi" w:hAnsi="Abadi" w:cstheme="minorHAnsi"/>
          <w:bCs/>
          <w:sz w:val="20"/>
          <w:szCs w:val="20"/>
          <w:lang w:val="es-ES_tradnl"/>
        </w:rPr>
        <w:t xml:space="preserve"> no ha considerado la revaluación como alternativa contable para el registro de sus propiedades ni de la depreciación.</w:t>
      </w:r>
    </w:p>
    <w:p w14:paraId="20A4C501" w14:textId="77777777" w:rsidR="00B42FA6" w:rsidRPr="00C80F8E" w:rsidRDefault="008808B4" w:rsidP="00B42FA6">
      <w:pPr>
        <w:jc w:val="both"/>
        <w:rPr>
          <w:rFonts w:ascii="Abadi" w:hAnsi="Abadi" w:cstheme="minorHAnsi"/>
          <w:b/>
          <w:sz w:val="20"/>
          <w:szCs w:val="20"/>
          <w:lang w:val="es-ES_tradnl"/>
        </w:rPr>
      </w:pPr>
      <w:r w:rsidRPr="00C80F8E">
        <w:rPr>
          <w:rFonts w:ascii="Abadi" w:hAnsi="Abadi" w:cstheme="minorHAnsi"/>
          <w:b/>
          <w:bCs/>
          <w:sz w:val="20"/>
          <w:szCs w:val="20"/>
          <w:lang w:val="es-ES_tradnl"/>
        </w:rPr>
        <w:t>6.3.4</w:t>
      </w:r>
      <w:r w:rsidRPr="00C80F8E">
        <w:rPr>
          <w:rFonts w:ascii="Abadi" w:hAnsi="Abadi" w:cstheme="minorHAnsi"/>
          <w:b/>
          <w:bCs/>
          <w:sz w:val="20"/>
          <w:szCs w:val="20"/>
          <w:lang w:val="es-ES_tradnl"/>
        </w:rPr>
        <w:tab/>
      </w:r>
      <w:r w:rsidR="00B42FA6" w:rsidRPr="00C80F8E">
        <w:rPr>
          <w:rFonts w:ascii="Abadi" w:hAnsi="Abadi" w:cstheme="minorHAnsi"/>
          <w:b/>
          <w:sz w:val="20"/>
          <w:szCs w:val="20"/>
          <w:lang w:val="es-ES_tradnl"/>
        </w:rPr>
        <w:t>Bienes Intangibles</w:t>
      </w:r>
      <w:bookmarkEnd w:id="7"/>
      <w:bookmarkEnd w:id="8"/>
      <w:bookmarkEnd w:id="9"/>
      <w:bookmarkEnd w:id="10"/>
      <w:r w:rsidR="008046BC" w:rsidRPr="00C80F8E">
        <w:rPr>
          <w:rFonts w:ascii="Abadi" w:hAnsi="Abadi" w:cstheme="minorHAnsi"/>
          <w:b/>
          <w:sz w:val="20"/>
          <w:szCs w:val="20"/>
          <w:lang w:val="es-ES_tradnl"/>
        </w:rPr>
        <w:t>:</w:t>
      </w:r>
    </w:p>
    <w:p w14:paraId="6C267CE5" w14:textId="13737285" w:rsidR="00AA7B1B" w:rsidRPr="00C80F8E" w:rsidRDefault="00B42FA6"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Estas partidas de los activos no </w:t>
      </w:r>
      <w:r w:rsidR="00F05F91" w:rsidRPr="00C80F8E">
        <w:rPr>
          <w:rFonts w:ascii="Abadi" w:hAnsi="Abadi" w:cstheme="minorHAnsi"/>
          <w:sz w:val="20"/>
          <w:szCs w:val="20"/>
          <w:lang w:val="es-ES_tradnl"/>
        </w:rPr>
        <w:t>corrientes</w:t>
      </w:r>
      <w:r w:rsidRPr="00C80F8E">
        <w:rPr>
          <w:rFonts w:ascii="Abadi" w:hAnsi="Abadi" w:cstheme="minorHAnsi"/>
          <w:sz w:val="20"/>
          <w:szCs w:val="20"/>
          <w:lang w:val="es-ES_tradnl"/>
        </w:rPr>
        <w:t xml:space="preserve"> se registran por su valor de adquisición o su valor corriente cuando no existe contraprestación, como es el caso de la donación.</w:t>
      </w:r>
      <w:r w:rsidR="003A7ACE"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 xml:space="preserve"> Para la Depreciación de esta categoría de bienes se aplica el mismo método de línea recta.</w:t>
      </w:r>
      <w:r w:rsidR="0077590D" w:rsidRPr="00C80F8E">
        <w:rPr>
          <w:rFonts w:ascii="Abadi" w:hAnsi="Abadi" w:cstheme="minorHAnsi"/>
          <w:sz w:val="20"/>
          <w:szCs w:val="20"/>
          <w:lang w:val="es-ES_tradnl"/>
        </w:rPr>
        <w:t xml:space="preserve"> </w:t>
      </w:r>
      <w:r w:rsidR="006A3064" w:rsidRPr="00C80F8E">
        <w:rPr>
          <w:rFonts w:ascii="Abadi" w:hAnsi="Abadi" w:cstheme="minorHAnsi"/>
          <w:sz w:val="20"/>
          <w:szCs w:val="20"/>
          <w:lang w:val="es-ES_tradnl"/>
        </w:rPr>
        <w:t>Los activos intangibles adquiridos</w:t>
      </w:r>
      <w:r w:rsidR="00410E21" w:rsidRPr="00C80F8E">
        <w:rPr>
          <w:rFonts w:ascii="Abadi" w:hAnsi="Abadi" w:cstheme="minorHAnsi"/>
          <w:sz w:val="20"/>
          <w:szCs w:val="20"/>
          <w:lang w:val="es-ES_tradnl"/>
        </w:rPr>
        <w:t xml:space="preserve">, son medidos al costo menos su </w:t>
      </w:r>
      <w:r w:rsidR="00F05F91" w:rsidRPr="00C80F8E">
        <w:rPr>
          <w:rFonts w:ascii="Abadi" w:hAnsi="Abadi" w:cstheme="minorHAnsi"/>
          <w:sz w:val="20"/>
          <w:szCs w:val="20"/>
          <w:lang w:val="es-ES_tradnl"/>
        </w:rPr>
        <w:t>amortización y las pérdidas acumuladas</w:t>
      </w:r>
      <w:r w:rsidR="00410E21" w:rsidRPr="00C80F8E">
        <w:rPr>
          <w:rFonts w:ascii="Abadi" w:hAnsi="Abadi" w:cstheme="minorHAnsi"/>
          <w:sz w:val="20"/>
          <w:szCs w:val="20"/>
          <w:lang w:val="es-ES_tradnl"/>
        </w:rPr>
        <w:t xml:space="preserve"> por deterioro</w:t>
      </w:r>
      <w:r w:rsidR="0077590D" w:rsidRPr="00C80F8E">
        <w:rPr>
          <w:rFonts w:ascii="Abadi" w:hAnsi="Abadi" w:cstheme="minorHAnsi"/>
          <w:sz w:val="20"/>
          <w:szCs w:val="20"/>
          <w:lang w:val="es-ES_tradnl"/>
        </w:rPr>
        <w:t xml:space="preserve">. </w:t>
      </w:r>
      <w:r w:rsidR="001E7F87" w:rsidRPr="00C80F8E">
        <w:rPr>
          <w:rFonts w:ascii="Abadi" w:hAnsi="Abadi" w:cstheme="minorHAnsi"/>
          <w:sz w:val="20"/>
          <w:szCs w:val="20"/>
          <w:lang w:val="es-ES_tradnl"/>
        </w:rPr>
        <w:t>Estos corresponden básicamente a licencias y programas de computadoras.</w:t>
      </w:r>
    </w:p>
    <w:p w14:paraId="1B924C9D" w14:textId="77777777" w:rsidR="00466AC5" w:rsidRPr="00C80F8E" w:rsidRDefault="008808B4" w:rsidP="00B42FA6">
      <w:pPr>
        <w:jc w:val="both"/>
        <w:rPr>
          <w:rFonts w:ascii="Abadi" w:hAnsi="Abadi" w:cstheme="minorHAnsi"/>
          <w:b/>
          <w:bCs/>
          <w:sz w:val="20"/>
          <w:szCs w:val="20"/>
          <w:lang w:val="es-ES_tradnl"/>
        </w:rPr>
      </w:pPr>
      <w:r w:rsidRPr="00C80F8E">
        <w:rPr>
          <w:rFonts w:ascii="Abadi" w:hAnsi="Abadi" w:cstheme="minorHAnsi"/>
          <w:b/>
          <w:bCs/>
          <w:sz w:val="20"/>
          <w:szCs w:val="20"/>
          <w:lang w:val="es-ES_tradnl"/>
        </w:rPr>
        <w:t>6.3.5</w:t>
      </w:r>
      <w:r w:rsidRPr="00C80F8E">
        <w:rPr>
          <w:rFonts w:ascii="Abadi" w:hAnsi="Abadi" w:cstheme="minorHAnsi"/>
          <w:b/>
          <w:bCs/>
          <w:sz w:val="20"/>
          <w:szCs w:val="20"/>
          <w:lang w:val="es-ES_tradnl"/>
        </w:rPr>
        <w:tab/>
      </w:r>
      <w:r w:rsidR="00466AC5" w:rsidRPr="00C80F8E">
        <w:rPr>
          <w:rFonts w:ascii="Abadi" w:hAnsi="Abadi" w:cstheme="minorHAnsi"/>
          <w:b/>
          <w:bCs/>
          <w:sz w:val="20"/>
          <w:szCs w:val="20"/>
          <w:lang w:val="es-ES_tradnl"/>
        </w:rPr>
        <w:t>Desembolsos posteriores</w:t>
      </w:r>
      <w:r w:rsidR="008046BC" w:rsidRPr="00C80F8E">
        <w:rPr>
          <w:rFonts w:ascii="Abadi" w:hAnsi="Abadi" w:cstheme="minorHAnsi"/>
          <w:b/>
          <w:bCs/>
          <w:sz w:val="20"/>
          <w:szCs w:val="20"/>
          <w:lang w:val="es-ES_tradnl"/>
        </w:rPr>
        <w:t>:</w:t>
      </w:r>
    </w:p>
    <w:p w14:paraId="5691DA68" w14:textId="77777777" w:rsidR="00466AC5" w:rsidRPr="00C80F8E" w:rsidRDefault="002B4A2B" w:rsidP="00B42FA6">
      <w:pPr>
        <w:jc w:val="both"/>
        <w:rPr>
          <w:rFonts w:ascii="Abadi" w:hAnsi="Abadi" w:cstheme="minorHAnsi"/>
          <w:sz w:val="20"/>
          <w:szCs w:val="20"/>
          <w:lang w:val="es-ES_tradnl"/>
        </w:rPr>
      </w:pPr>
      <w:r w:rsidRPr="00C80F8E">
        <w:rPr>
          <w:rFonts w:ascii="Abadi" w:hAnsi="Abadi" w:cstheme="minorHAnsi"/>
          <w:sz w:val="20"/>
          <w:szCs w:val="20"/>
          <w:lang w:val="es-ES_tradnl"/>
        </w:rPr>
        <w:t>Los desembolsos posteriores son capitalizados solo cuando aumentan los beneficios económicos futuros</w:t>
      </w:r>
      <w:r w:rsidR="009430D9" w:rsidRPr="00C80F8E">
        <w:rPr>
          <w:rFonts w:ascii="Abadi" w:hAnsi="Abadi" w:cstheme="minorHAnsi"/>
          <w:sz w:val="20"/>
          <w:szCs w:val="20"/>
          <w:lang w:val="es-ES_tradnl"/>
        </w:rPr>
        <w:t xml:space="preserve"> incorporados en el activo </w:t>
      </w:r>
      <w:r w:rsidR="00675CFD" w:rsidRPr="00C80F8E">
        <w:rPr>
          <w:rFonts w:ascii="Abadi" w:hAnsi="Abadi" w:cstheme="minorHAnsi"/>
          <w:sz w:val="20"/>
          <w:szCs w:val="20"/>
          <w:lang w:val="es-ES_tradnl"/>
        </w:rPr>
        <w:t>específico</w:t>
      </w:r>
      <w:r w:rsidR="009430D9" w:rsidRPr="00C80F8E">
        <w:rPr>
          <w:rFonts w:ascii="Abadi" w:hAnsi="Abadi" w:cstheme="minorHAnsi"/>
          <w:sz w:val="20"/>
          <w:szCs w:val="20"/>
          <w:lang w:val="es-ES_tradnl"/>
        </w:rPr>
        <w:t xml:space="preserve"> relacionado con dichos desembolsos.</w:t>
      </w:r>
    </w:p>
    <w:p w14:paraId="3474AA8A" w14:textId="77777777" w:rsidR="009B66C0" w:rsidRPr="00C80F8E" w:rsidRDefault="008808B4" w:rsidP="00B42FA6">
      <w:pPr>
        <w:jc w:val="both"/>
        <w:rPr>
          <w:rFonts w:ascii="Abadi" w:hAnsi="Abadi" w:cstheme="minorHAnsi"/>
          <w:b/>
          <w:bCs/>
          <w:sz w:val="20"/>
          <w:szCs w:val="20"/>
          <w:lang w:val="es-ES_tradnl"/>
        </w:rPr>
      </w:pPr>
      <w:r w:rsidRPr="00C80F8E">
        <w:rPr>
          <w:rFonts w:ascii="Abadi" w:hAnsi="Abadi" w:cstheme="minorHAnsi"/>
          <w:b/>
          <w:bCs/>
          <w:sz w:val="20"/>
          <w:szCs w:val="20"/>
          <w:lang w:val="es-ES_tradnl"/>
        </w:rPr>
        <w:t>6.3.6</w:t>
      </w:r>
      <w:r w:rsidRPr="00C80F8E">
        <w:rPr>
          <w:rFonts w:ascii="Abadi" w:hAnsi="Abadi" w:cstheme="minorHAnsi"/>
          <w:b/>
          <w:bCs/>
          <w:sz w:val="20"/>
          <w:szCs w:val="20"/>
          <w:lang w:val="es-ES_tradnl"/>
        </w:rPr>
        <w:tab/>
      </w:r>
      <w:r w:rsidR="00675CFD" w:rsidRPr="00C80F8E">
        <w:rPr>
          <w:rFonts w:ascii="Abadi" w:hAnsi="Abadi" w:cstheme="minorHAnsi"/>
          <w:b/>
          <w:bCs/>
          <w:sz w:val="20"/>
          <w:szCs w:val="20"/>
          <w:lang w:val="es-ES_tradnl"/>
        </w:rPr>
        <w:t>Amortización</w:t>
      </w:r>
      <w:r w:rsidR="008046BC" w:rsidRPr="00C80F8E">
        <w:rPr>
          <w:rFonts w:ascii="Abadi" w:hAnsi="Abadi" w:cstheme="minorHAnsi"/>
          <w:b/>
          <w:bCs/>
          <w:sz w:val="20"/>
          <w:szCs w:val="20"/>
          <w:lang w:val="es-ES_tradnl"/>
        </w:rPr>
        <w:t>:</w:t>
      </w:r>
    </w:p>
    <w:p w14:paraId="7ABF330A" w14:textId="77777777" w:rsidR="008046BC" w:rsidRPr="00C80F8E" w:rsidRDefault="00EA6AFA"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La </w:t>
      </w:r>
      <w:r w:rsidR="00826E12" w:rsidRPr="00C80F8E">
        <w:rPr>
          <w:rFonts w:ascii="Abadi" w:hAnsi="Abadi" w:cstheme="minorHAnsi"/>
          <w:sz w:val="20"/>
          <w:szCs w:val="20"/>
          <w:lang w:val="es-ES_tradnl"/>
        </w:rPr>
        <w:t>amortización se calcula sobre el monto depreciable</w:t>
      </w:r>
      <w:r w:rsidR="00226827" w:rsidRPr="00C80F8E">
        <w:rPr>
          <w:rFonts w:ascii="Abadi" w:hAnsi="Abadi" w:cstheme="minorHAnsi"/>
          <w:sz w:val="20"/>
          <w:szCs w:val="20"/>
          <w:lang w:val="es-ES_tradnl"/>
        </w:rPr>
        <w:t>, que corresponde al costo del bien menos su valor residual.</w:t>
      </w:r>
    </w:p>
    <w:p w14:paraId="14160EB5" w14:textId="77777777" w:rsidR="00196655" w:rsidRPr="00C80F8E" w:rsidRDefault="00196655" w:rsidP="00B42FA6">
      <w:pPr>
        <w:jc w:val="both"/>
        <w:rPr>
          <w:rFonts w:ascii="Abadi" w:hAnsi="Abadi" w:cstheme="minorHAnsi"/>
          <w:sz w:val="20"/>
          <w:szCs w:val="20"/>
          <w:lang w:val="es-ES_tradnl"/>
        </w:rPr>
      </w:pPr>
      <w:r w:rsidRPr="00C80F8E">
        <w:rPr>
          <w:rFonts w:ascii="Abadi" w:hAnsi="Abadi" w:cstheme="minorHAnsi"/>
          <w:sz w:val="20"/>
          <w:szCs w:val="20"/>
          <w:lang w:val="es-ES_tradnl"/>
        </w:rPr>
        <w:t xml:space="preserve">La amortización es reconocida en el resultado sobre la base del método de línea recta.  La vida </w:t>
      </w:r>
      <w:r w:rsidR="00EB6D91" w:rsidRPr="00C80F8E">
        <w:rPr>
          <w:rFonts w:ascii="Abadi" w:hAnsi="Abadi" w:cstheme="minorHAnsi"/>
          <w:sz w:val="20"/>
          <w:szCs w:val="20"/>
          <w:lang w:val="es-ES_tradnl"/>
        </w:rPr>
        <w:t>útil estimada de licencias y programas de</w:t>
      </w:r>
      <w:r w:rsidR="00CC1F14" w:rsidRPr="00C80F8E">
        <w:rPr>
          <w:rFonts w:ascii="Abadi" w:hAnsi="Abadi" w:cstheme="minorHAnsi"/>
          <w:sz w:val="20"/>
          <w:szCs w:val="20"/>
          <w:lang w:val="es-ES_tradnl"/>
        </w:rPr>
        <w:t xml:space="preserve"> computadoras abarca un periodo </w:t>
      </w:r>
      <w:r w:rsidR="0098008F" w:rsidRPr="00C80F8E">
        <w:rPr>
          <w:rFonts w:ascii="Abadi" w:hAnsi="Abadi" w:cstheme="minorHAnsi"/>
          <w:sz w:val="20"/>
          <w:szCs w:val="20"/>
          <w:lang w:val="es-ES_tradnl"/>
        </w:rPr>
        <w:t xml:space="preserve">de cinco años.  </w:t>
      </w:r>
    </w:p>
    <w:p w14:paraId="2D3EE3D6" w14:textId="77777777" w:rsidR="00D635D7" w:rsidRPr="00C80F8E" w:rsidRDefault="00D635D7" w:rsidP="00B42FA6">
      <w:pPr>
        <w:jc w:val="both"/>
        <w:rPr>
          <w:rFonts w:ascii="Abadi" w:hAnsi="Abadi" w:cstheme="minorHAnsi"/>
          <w:sz w:val="20"/>
          <w:szCs w:val="20"/>
          <w:lang w:val="es-ES_tradnl"/>
        </w:rPr>
      </w:pPr>
      <w:r w:rsidRPr="00C80F8E">
        <w:rPr>
          <w:rFonts w:ascii="Abadi" w:hAnsi="Abadi" w:cstheme="minorHAnsi"/>
          <w:sz w:val="20"/>
          <w:szCs w:val="20"/>
          <w:lang w:val="es-ES_tradnl"/>
        </w:rPr>
        <w:t>El método de amortización, la vida útil y el valor residual son revisados mensualmente, si existe evidencia de algún cambio y se ajustan, si es nece</w:t>
      </w:r>
      <w:r w:rsidR="000B7A74" w:rsidRPr="00C80F8E">
        <w:rPr>
          <w:rFonts w:ascii="Abadi" w:hAnsi="Abadi" w:cstheme="minorHAnsi"/>
          <w:sz w:val="20"/>
          <w:szCs w:val="20"/>
          <w:lang w:val="es-ES_tradnl"/>
        </w:rPr>
        <w:t>sario.</w:t>
      </w:r>
    </w:p>
    <w:p w14:paraId="60B7576A" w14:textId="77777777" w:rsidR="00AA74EB" w:rsidRPr="00C80F8E" w:rsidRDefault="008808B4" w:rsidP="00AA74EB">
      <w:pPr>
        <w:jc w:val="both"/>
        <w:rPr>
          <w:rFonts w:ascii="Abadi" w:hAnsi="Abadi" w:cstheme="minorHAnsi"/>
          <w:b/>
          <w:sz w:val="20"/>
          <w:szCs w:val="20"/>
          <w:lang w:val="es-ES_tradnl"/>
        </w:rPr>
      </w:pPr>
      <w:bookmarkStart w:id="11" w:name="_Toc155686857"/>
      <w:bookmarkStart w:id="12" w:name="_Toc191191226"/>
      <w:bookmarkStart w:id="13" w:name="_Toc207181379"/>
      <w:bookmarkStart w:id="14" w:name="_Toc208202801"/>
      <w:r w:rsidRPr="00C80F8E">
        <w:rPr>
          <w:rFonts w:ascii="Abadi" w:hAnsi="Abadi" w:cstheme="minorHAnsi"/>
          <w:b/>
          <w:bCs/>
          <w:sz w:val="20"/>
          <w:szCs w:val="20"/>
          <w:lang w:val="es-ES_tradnl"/>
        </w:rPr>
        <w:t>6.4</w:t>
      </w:r>
      <w:r w:rsidRPr="00C80F8E">
        <w:rPr>
          <w:rFonts w:ascii="Abadi" w:hAnsi="Abadi" w:cstheme="minorHAnsi"/>
          <w:b/>
          <w:bCs/>
          <w:sz w:val="20"/>
          <w:szCs w:val="20"/>
          <w:lang w:val="es-ES_tradnl"/>
        </w:rPr>
        <w:tab/>
      </w:r>
      <w:r w:rsidR="00AA74EB" w:rsidRPr="00C80F8E">
        <w:rPr>
          <w:rFonts w:ascii="Abadi" w:hAnsi="Abadi" w:cstheme="minorHAnsi"/>
          <w:b/>
          <w:sz w:val="20"/>
          <w:szCs w:val="20"/>
          <w:lang w:val="es-ES_tradnl"/>
        </w:rPr>
        <w:t>Inversiones Corrientes e Inversiones a Largo Plazo</w:t>
      </w:r>
      <w:bookmarkEnd w:id="11"/>
      <w:bookmarkEnd w:id="12"/>
      <w:bookmarkEnd w:id="13"/>
      <w:bookmarkEnd w:id="14"/>
    </w:p>
    <w:p w14:paraId="74A17311" w14:textId="55BE2A80" w:rsidR="00AA74EB"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r w:rsidR="00177A93" w:rsidRPr="00C80F8E">
        <w:rPr>
          <w:rFonts w:ascii="Abadi" w:hAnsi="Abadi" w:cstheme="minorHAnsi"/>
          <w:sz w:val="20"/>
          <w:szCs w:val="20"/>
          <w:lang w:val="es-ES_tradnl"/>
        </w:rPr>
        <w:t xml:space="preserve"> </w:t>
      </w:r>
      <w:r w:rsidR="00473CDD"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Cuando se trate de participaciones permanentes en las que se ejerza control o influencia significativa en las decisiones, se valuarán a su valor patrimonial proporcional.</w:t>
      </w:r>
      <w:r w:rsidR="0077590D" w:rsidRPr="00C80F8E">
        <w:rPr>
          <w:rFonts w:ascii="Abadi" w:hAnsi="Abadi" w:cstheme="minorHAnsi"/>
          <w:sz w:val="20"/>
          <w:szCs w:val="20"/>
          <w:lang w:val="es-ES_tradnl"/>
        </w:rPr>
        <w:t xml:space="preserve"> </w:t>
      </w:r>
      <w:r w:rsidR="00473CDD"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Si el Poder Ejecutivo, realiza transferencias de capital a instituciones del Gobierno Central, sin tenerse el detalle del tipo de inversión realizada, serán catalogadas como un componente del activo fijo, sujetas a conciliación y reclasificación.</w:t>
      </w:r>
      <w:r w:rsidR="0077590D"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14:paraId="62B1E574" w14:textId="77777777" w:rsidR="00B743E2" w:rsidRPr="00C80F8E" w:rsidRDefault="00B743E2" w:rsidP="00AA74EB">
      <w:pPr>
        <w:jc w:val="both"/>
        <w:rPr>
          <w:rFonts w:ascii="Abadi" w:hAnsi="Abadi" w:cstheme="minorHAnsi"/>
          <w:sz w:val="20"/>
          <w:szCs w:val="20"/>
          <w:lang w:val="es-ES_tradnl"/>
        </w:rPr>
      </w:pPr>
      <w:bookmarkStart w:id="15" w:name="_Toc155686858"/>
      <w:bookmarkStart w:id="16" w:name="_Toc180760098"/>
      <w:bookmarkStart w:id="17" w:name="_Toc191191227"/>
      <w:bookmarkStart w:id="18" w:name="_Toc207181380"/>
      <w:bookmarkStart w:id="19" w:name="_Toc208202802"/>
    </w:p>
    <w:p w14:paraId="240C040F" w14:textId="77777777" w:rsidR="00B743E2" w:rsidRPr="00C80F8E" w:rsidRDefault="00B743E2" w:rsidP="00AA74EB">
      <w:pPr>
        <w:jc w:val="both"/>
        <w:rPr>
          <w:rFonts w:ascii="Abadi" w:hAnsi="Abadi" w:cstheme="minorHAnsi"/>
          <w:sz w:val="20"/>
          <w:szCs w:val="20"/>
          <w:lang w:val="es-ES_tradnl"/>
        </w:rPr>
      </w:pPr>
    </w:p>
    <w:p w14:paraId="544E7155" w14:textId="77777777" w:rsidR="00B743E2" w:rsidRPr="00C80F8E" w:rsidRDefault="00B743E2" w:rsidP="00AA74EB">
      <w:pPr>
        <w:jc w:val="both"/>
        <w:rPr>
          <w:rFonts w:ascii="Abadi" w:hAnsi="Abadi" w:cstheme="minorHAnsi"/>
          <w:sz w:val="20"/>
          <w:szCs w:val="20"/>
          <w:lang w:val="es-ES_tradnl"/>
        </w:rPr>
      </w:pPr>
    </w:p>
    <w:p w14:paraId="70C85327" w14:textId="7C048425" w:rsidR="00AA74EB" w:rsidRPr="00C80F8E" w:rsidRDefault="00AA74EB" w:rsidP="00AA74EB">
      <w:pPr>
        <w:jc w:val="both"/>
        <w:rPr>
          <w:rFonts w:ascii="Abadi" w:hAnsi="Abadi" w:cstheme="minorHAnsi"/>
          <w:b/>
          <w:bCs/>
          <w:sz w:val="20"/>
          <w:szCs w:val="20"/>
          <w:lang w:val="es-ES_tradnl"/>
        </w:rPr>
      </w:pPr>
      <w:r w:rsidRPr="00C80F8E">
        <w:rPr>
          <w:rFonts w:ascii="Abadi" w:hAnsi="Abadi" w:cstheme="minorHAnsi"/>
          <w:b/>
          <w:bCs/>
          <w:sz w:val="20"/>
          <w:szCs w:val="20"/>
          <w:lang w:val="es-ES_tradnl"/>
        </w:rPr>
        <w:lastRenderedPageBreak/>
        <w:t>Normas de Valuación de Pasivos y Patrimonio</w:t>
      </w:r>
      <w:bookmarkStart w:id="20" w:name="_Toc155686859"/>
      <w:bookmarkStart w:id="21" w:name="_Toc191191228"/>
      <w:bookmarkStart w:id="22" w:name="_Toc207181381"/>
      <w:bookmarkStart w:id="23" w:name="_Toc208202803"/>
      <w:bookmarkEnd w:id="15"/>
      <w:bookmarkEnd w:id="16"/>
      <w:bookmarkEnd w:id="17"/>
      <w:bookmarkEnd w:id="18"/>
      <w:bookmarkEnd w:id="19"/>
    </w:p>
    <w:p w14:paraId="502AE24C" w14:textId="77777777" w:rsidR="00AA74EB" w:rsidRPr="00C80F8E" w:rsidRDefault="008808B4" w:rsidP="00AA74EB">
      <w:pPr>
        <w:jc w:val="both"/>
        <w:rPr>
          <w:rFonts w:ascii="Abadi" w:hAnsi="Abadi" w:cstheme="minorHAnsi"/>
          <w:b/>
          <w:sz w:val="20"/>
          <w:szCs w:val="20"/>
          <w:lang w:val="es-ES_tradnl"/>
        </w:rPr>
      </w:pPr>
      <w:r w:rsidRPr="00C80F8E">
        <w:rPr>
          <w:rFonts w:ascii="Abadi" w:hAnsi="Abadi" w:cstheme="minorHAnsi"/>
          <w:b/>
          <w:bCs/>
          <w:sz w:val="20"/>
          <w:szCs w:val="20"/>
          <w:lang w:val="es-ES_tradnl"/>
        </w:rPr>
        <w:t>6.5</w:t>
      </w:r>
      <w:r w:rsidRPr="00C80F8E">
        <w:rPr>
          <w:rFonts w:ascii="Abadi" w:hAnsi="Abadi" w:cstheme="minorHAnsi"/>
          <w:b/>
          <w:bCs/>
          <w:sz w:val="20"/>
          <w:szCs w:val="20"/>
          <w:lang w:val="es-ES_tradnl"/>
        </w:rPr>
        <w:tab/>
      </w:r>
      <w:r w:rsidR="00AA74EB" w:rsidRPr="00C80F8E">
        <w:rPr>
          <w:rFonts w:ascii="Abadi" w:hAnsi="Abadi" w:cstheme="minorHAnsi"/>
          <w:b/>
          <w:sz w:val="20"/>
          <w:szCs w:val="20"/>
          <w:lang w:val="es-ES_tradnl"/>
        </w:rPr>
        <w:t>Deudas</w:t>
      </w:r>
      <w:bookmarkEnd w:id="20"/>
      <w:bookmarkEnd w:id="21"/>
      <w:bookmarkEnd w:id="22"/>
      <w:bookmarkEnd w:id="23"/>
      <w:r w:rsidR="00B1580F" w:rsidRPr="00C80F8E">
        <w:rPr>
          <w:rFonts w:ascii="Abadi" w:hAnsi="Abadi" w:cstheme="minorHAnsi"/>
          <w:b/>
          <w:sz w:val="20"/>
          <w:szCs w:val="20"/>
          <w:lang w:val="es-ES_tradnl"/>
        </w:rPr>
        <w:t xml:space="preserve"> (Cuentas por pagar)</w:t>
      </w:r>
    </w:p>
    <w:p w14:paraId="18386371" w14:textId="77777777" w:rsidR="00AA74EB"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 xml:space="preserve">Los pasivos por concepto de deudas </w:t>
      </w:r>
      <w:r w:rsidR="00F332D2" w:rsidRPr="00C80F8E">
        <w:rPr>
          <w:rFonts w:ascii="Abadi" w:hAnsi="Abadi" w:cstheme="minorHAnsi"/>
          <w:sz w:val="20"/>
          <w:szCs w:val="20"/>
          <w:lang w:val="es-ES_tradnl"/>
        </w:rPr>
        <w:t>son reconocidos</w:t>
      </w:r>
      <w:r w:rsidR="00707D2C" w:rsidRPr="00C80F8E">
        <w:rPr>
          <w:rFonts w:ascii="Abadi" w:hAnsi="Abadi" w:cstheme="minorHAnsi"/>
          <w:sz w:val="20"/>
          <w:szCs w:val="20"/>
          <w:lang w:val="es-ES_tradnl"/>
        </w:rPr>
        <w:t xml:space="preserve"> y </w:t>
      </w:r>
      <w:r w:rsidRPr="00C80F8E">
        <w:rPr>
          <w:rFonts w:ascii="Abadi" w:hAnsi="Abadi" w:cstheme="minorHAnsi"/>
          <w:sz w:val="20"/>
          <w:szCs w:val="20"/>
          <w:lang w:val="es-ES_tradnl"/>
        </w:rPr>
        <w:t>se contabilizan por el valor de los bienes adquiridos y los servicios recibidos, deduciendo los descuentos comerciales obtenidos, si aplican</w:t>
      </w:r>
      <w:r w:rsidR="009F0878" w:rsidRPr="00C80F8E">
        <w:rPr>
          <w:rFonts w:ascii="Abadi" w:hAnsi="Abadi" w:cstheme="minorHAnsi"/>
          <w:sz w:val="20"/>
          <w:szCs w:val="20"/>
          <w:lang w:val="es-ES_tradnl"/>
        </w:rPr>
        <w:t xml:space="preserve">, </w:t>
      </w:r>
      <w:r w:rsidR="00860A79" w:rsidRPr="00C80F8E">
        <w:rPr>
          <w:rFonts w:ascii="Abadi" w:hAnsi="Abadi" w:cstheme="minorHAnsi"/>
          <w:sz w:val="20"/>
          <w:szCs w:val="20"/>
          <w:lang w:val="es-ES_tradnl"/>
        </w:rPr>
        <w:t>además independiente del momento en el que se realiza el pago</w:t>
      </w:r>
      <w:r w:rsidRPr="00C80F8E">
        <w:rPr>
          <w:rFonts w:ascii="Abadi" w:hAnsi="Abadi" w:cstheme="minorHAnsi"/>
          <w:sz w:val="20"/>
          <w:szCs w:val="20"/>
          <w:lang w:val="es-ES_tradnl"/>
        </w:rPr>
        <w:t>.</w:t>
      </w:r>
    </w:p>
    <w:p w14:paraId="464B93C2" w14:textId="77777777" w:rsidR="00860A79" w:rsidRPr="00C80F8E" w:rsidRDefault="000C6EE5" w:rsidP="00AA74EB">
      <w:pPr>
        <w:jc w:val="both"/>
        <w:rPr>
          <w:rFonts w:ascii="Abadi" w:hAnsi="Abadi" w:cstheme="minorHAnsi"/>
          <w:sz w:val="20"/>
          <w:szCs w:val="20"/>
          <w:lang w:val="es-ES_tradnl"/>
        </w:rPr>
      </w:pPr>
      <w:r w:rsidRPr="00C80F8E">
        <w:rPr>
          <w:rFonts w:ascii="Abadi" w:hAnsi="Abadi" w:cstheme="minorHAnsi"/>
          <w:sz w:val="20"/>
          <w:szCs w:val="20"/>
          <w:lang w:val="es-ES_tradnl"/>
        </w:rPr>
        <w:t>Los pasivos son dados de baja cuando los compromisos son saldados o expira el compromiso.</w:t>
      </w:r>
    </w:p>
    <w:p w14:paraId="43AB26DE" w14:textId="605EA750" w:rsidR="00B34FEA"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 xml:space="preserve">Los pasivos en moneda extranjera se valúan </w:t>
      </w:r>
      <w:r w:rsidR="0008461B" w:rsidRPr="00C80F8E">
        <w:rPr>
          <w:rFonts w:ascii="Abadi" w:hAnsi="Abadi" w:cstheme="minorHAnsi"/>
          <w:sz w:val="20"/>
          <w:szCs w:val="20"/>
          <w:lang w:val="es-ES_tradnl"/>
        </w:rPr>
        <w:t>de acuerdo con</w:t>
      </w:r>
      <w:r w:rsidRPr="00C80F8E">
        <w:rPr>
          <w:rFonts w:ascii="Abadi" w:hAnsi="Abadi" w:cstheme="minorHAnsi"/>
          <w:sz w:val="20"/>
          <w:szCs w:val="20"/>
          <w:lang w:val="es-ES_tradnl"/>
        </w:rPr>
        <w:t xml:space="preserve"> la cotización de la moneda de que se trate, al tipo de cambio comprador a la fecha del ingreso de los fondos. </w:t>
      </w:r>
      <w:r w:rsidR="008D6840" w:rsidRPr="00C80F8E">
        <w:rPr>
          <w:rFonts w:ascii="Abadi" w:hAnsi="Abadi" w:cstheme="minorHAnsi"/>
          <w:sz w:val="20"/>
          <w:szCs w:val="20"/>
          <w:lang w:val="es-ES_tradnl"/>
        </w:rPr>
        <w:t xml:space="preserve"> </w:t>
      </w:r>
      <w:r w:rsidRPr="00C80F8E">
        <w:rPr>
          <w:rFonts w:ascii="Abadi" w:hAnsi="Abadi" w:cstheme="minorHAnsi"/>
          <w:sz w:val="20"/>
          <w:szCs w:val="20"/>
          <w:lang w:val="es-ES_tradnl"/>
        </w:rPr>
        <w:t>Al cierre del ejercicio contable los montos no pagados o pendientes de pago se ajustan a la cotización de la moneda vigente a esa fecha.</w:t>
      </w:r>
    </w:p>
    <w:p w14:paraId="5B13E94A" w14:textId="77777777" w:rsidR="00AA74EB" w:rsidRPr="00C80F8E" w:rsidRDefault="008808B4" w:rsidP="00AA74EB">
      <w:pPr>
        <w:jc w:val="both"/>
        <w:rPr>
          <w:rFonts w:ascii="Abadi" w:hAnsi="Abadi" w:cstheme="minorHAnsi"/>
          <w:b/>
          <w:sz w:val="20"/>
          <w:szCs w:val="20"/>
          <w:lang w:val="es-ES_tradnl"/>
        </w:rPr>
      </w:pPr>
      <w:bookmarkStart w:id="24" w:name="_Toc155686860"/>
      <w:bookmarkStart w:id="25" w:name="_Toc191191229"/>
      <w:bookmarkStart w:id="26" w:name="_Toc207181382"/>
      <w:bookmarkStart w:id="27" w:name="_Toc208202804"/>
      <w:r w:rsidRPr="00C80F8E">
        <w:rPr>
          <w:rFonts w:ascii="Abadi" w:hAnsi="Abadi" w:cstheme="minorHAnsi"/>
          <w:b/>
          <w:bCs/>
          <w:sz w:val="20"/>
          <w:szCs w:val="20"/>
          <w:lang w:val="es-ES_tradnl"/>
        </w:rPr>
        <w:t>6.6</w:t>
      </w:r>
      <w:r w:rsidRPr="00C80F8E">
        <w:rPr>
          <w:rFonts w:ascii="Abadi" w:hAnsi="Abadi" w:cstheme="minorHAnsi"/>
          <w:b/>
          <w:bCs/>
          <w:sz w:val="20"/>
          <w:szCs w:val="20"/>
          <w:lang w:val="es-ES_tradnl"/>
        </w:rPr>
        <w:tab/>
      </w:r>
      <w:r w:rsidR="00AA74EB" w:rsidRPr="00C80F8E">
        <w:rPr>
          <w:rFonts w:ascii="Abadi" w:hAnsi="Abadi" w:cstheme="minorHAnsi"/>
          <w:b/>
          <w:sz w:val="20"/>
          <w:szCs w:val="20"/>
          <w:lang w:val="es-ES_tradnl"/>
        </w:rPr>
        <w:t>Pasivos Diferidos</w:t>
      </w:r>
      <w:bookmarkEnd w:id="24"/>
      <w:bookmarkEnd w:id="25"/>
      <w:bookmarkEnd w:id="26"/>
      <w:bookmarkEnd w:id="27"/>
    </w:p>
    <w:p w14:paraId="25E993A0" w14:textId="77777777" w:rsidR="005E374E"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Los pasivos diferidos están valuados al valor nominal de los anticipos recibidos por obligaciones que deberán cumplirse en ejercicios siguientes.</w:t>
      </w:r>
      <w:bookmarkStart w:id="28" w:name="_Toc155686861"/>
      <w:bookmarkStart w:id="29" w:name="_Toc191191230"/>
      <w:bookmarkStart w:id="30" w:name="_Toc207181383"/>
      <w:bookmarkStart w:id="31" w:name="_Toc208202805"/>
    </w:p>
    <w:p w14:paraId="0CD12F81" w14:textId="77777777" w:rsidR="00AA74EB" w:rsidRPr="00C80F8E" w:rsidRDefault="008808B4" w:rsidP="00AA74EB">
      <w:pPr>
        <w:jc w:val="both"/>
        <w:rPr>
          <w:rFonts w:ascii="Abadi" w:hAnsi="Abadi" w:cstheme="minorHAnsi"/>
          <w:sz w:val="20"/>
          <w:szCs w:val="20"/>
          <w:lang w:val="es-ES_tradnl"/>
        </w:rPr>
      </w:pPr>
      <w:r w:rsidRPr="00C80F8E">
        <w:rPr>
          <w:rFonts w:ascii="Abadi" w:hAnsi="Abadi" w:cstheme="minorHAnsi"/>
          <w:b/>
          <w:bCs/>
          <w:sz w:val="20"/>
          <w:szCs w:val="20"/>
          <w:lang w:val="es-ES_tradnl"/>
        </w:rPr>
        <w:t>6.7</w:t>
      </w:r>
      <w:r w:rsidRPr="00C80F8E">
        <w:rPr>
          <w:rFonts w:ascii="Abadi" w:hAnsi="Abadi" w:cstheme="minorHAnsi"/>
          <w:b/>
          <w:bCs/>
          <w:sz w:val="20"/>
          <w:szCs w:val="20"/>
          <w:lang w:val="es-ES_tradnl"/>
        </w:rPr>
        <w:tab/>
      </w:r>
      <w:r w:rsidR="00AA74EB" w:rsidRPr="00C80F8E">
        <w:rPr>
          <w:rFonts w:ascii="Abadi" w:hAnsi="Abadi" w:cstheme="minorHAnsi"/>
          <w:b/>
          <w:sz w:val="20"/>
          <w:szCs w:val="20"/>
          <w:lang w:val="es-ES_tradnl"/>
        </w:rPr>
        <w:t>Provisiones</w:t>
      </w:r>
      <w:bookmarkEnd w:id="28"/>
      <w:bookmarkEnd w:id="29"/>
      <w:bookmarkEnd w:id="30"/>
      <w:bookmarkEnd w:id="31"/>
      <w:r w:rsidR="0080727E" w:rsidRPr="00C80F8E">
        <w:rPr>
          <w:rFonts w:ascii="Abadi" w:hAnsi="Abadi" w:cstheme="minorHAnsi"/>
          <w:b/>
          <w:sz w:val="20"/>
          <w:szCs w:val="20"/>
          <w:lang w:val="es-ES_tradnl"/>
        </w:rPr>
        <w:t>:</w:t>
      </w:r>
    </w:p>
    <w:p w14:paraId="50181B30" w14:textId="77777777" w:rsidR="00AA74EB"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Las provisiones se determinan como el resultado de estimaciones basadas en la experiencia sobre la incobrabilidad o riesgo del rubro de que se trate.</w:t>
      </w:r>
    </w:p>
    <w:p w14:paraId="47D7EA89" w14:textId="2A25AFB0" w:rsidR="00B35C7A" w:rsidRPr="00C80F8E" w:rsidRDefault="00A50C69" w:rsidP="00AA74EB">
      <w:pPr>
        <w:jc w:val="both"/>
        <w:rPr>
          <w:rFonts w:ascii="Abadi" w:hAnsi="Abadi" w:cstheme="minorHAnsi"/>
          <w:sz w:val="20"/>
          <w:szCs w:val="20"/>
          <w:lang w:val="es-ES_tradnl"/>
        </w:rPr>
      </w:pPr>
      <w:r w:rsidRPr="00C80F8E">
        <w:rPr>
          <w:rFonts w:ascii="Abadi" w:hAnsi="Abadi" w:cstheme="minorHAnsi"/>
          <w:sz w:val="20"/>
          <w:szCs w:val="20"/>
          <w:lang w:val="es-ES_tradnl"/>
        </w:rPr>
        <w:t xml:space="preserve">Las provisiones </w:t>
      </w:r>
      <w:r w:rsidR="0027224D" w:rsidRPr="00C80F8E">
        <w:rPr>
          <w:rFonts w:ascii="Abadi" w:hAnsi="Abadi" w:cstheme="minorHAnsi"/>
          <w:sz w:val="20"/>
          <w:szCs w:val="20"/>
          <w:lang w:val="es-ES_tradnl"/>
        </w:rPr>
        <w:t xml:space="preserve">que se originan de las </w:t>
      </w:r>
      <w:r w:rsidR="0008461B" w:rsidRPr="00C80F8E">
        <w:rPr>
          <w:rFonts w:ascii="Abadi" w:hAnsi="Abadi" w:cstheme="minorHAnsi"/>
          <w:sz w:val="20"/>
          <w:szCs w:val="20"/>
          <w:lang w:val="es-ES_tradnl"/>
        </w:rPr>
        <w:t>nóminas</w:t>
      </w:r>
      <w:r w:rsidR="0027224D" w:rsidRPr="00C80F8E">
        <w:rPr>
          <w:rFonts w:ascii="Abadi" w:hAnsi="Abadi" w:cstheme="minorHAnsi"/>
          <w:sz w:val="20"/>
          <w:szCs w:val="20"/>
          <w:lang w:val="es-ES_tradnl"/>
        </w:rPr>
        <w:t xml:space="preserve"> se contabili</w:t>
      </w:r>
      <w:r w:rsidR="006A202E" w:rsidRPr="00C80F8E">
        <w:rPr>
          <w:rFonts w:ascii="Abadi" w:hAnsi="Abadi" w:cstheme="minorHAnsi"/>
          <w:sz w:val="20"/>
          <w:szCs w:val="20"/>
          <w:lang w:val="es-ES_tradnl"/>
        </w:rPr>
        <w:t xml:space="preserve">zan al momento en que los funcionarios y empleados devengan sus derechos a recibir </w:t>
      </w:r>
      <w:r w:rsidR="00A33107" w:rsidRPr="00C80F8E">
        <w:rPr>
          <w:rFonts w:ascii="Abadi" w:hAnsi="Abadi" w:cstheme="minorHAnsi"/>
          <w:sz w:val="20"/>
          <w:szCs w:val="20"/>
          <w:lang w:val="es-ES_tradnl"/>
        </w:rPr>
        <w:t xml:space="preserve">el producto de </w:t>
      </w:r>
      <w:r w:rsidR="000D2DCA" w:rsidRPr="00C80F8E">
        <w:rPr>
          <w:rFonts w:ascii="Abadi" w:hAnsi="Abadi" w:cstheme="minorHAnsi"/>
          <w:sz w:val="20"/>
          <w:szCs w:val="20"/>
          <w:lang w:val="es-ES_tradnl"/>
        </w:rPr>
        <w:t>estas</w:t>
      </w:r>
      <w:r w:rsidR="00A33107" w:rsidRPr="00C80F8E">
        <w:rPr>
          <w:rFonts w:ascii="Abadi" w:hAnsi="Abadi" w:cstheme="minorHAnsi"/>
          <w:sz w:val="20"/>
          <w:szCs w:val="20"/>
          <w:lang w:val="es-ES_tradnl"/>
        </w:rPr>
        <w:t>.</w:t>
      </w:r>
    </w:p>
    <w:p w14:paraId="414D6B67" w14:textId="77777777" w:rsidR="009D1DC1" w:rsidRPr="00C80F8E" w:rsidRDefault="008808B4" w:rsidP="00AA74EB">
      <w:pPr>
        <w:jc w:val="both"/>
        <w:rPr>
          <w:rFonts w:ascii="Abadi" w:hAnsi="Abadi" w:cstheme="minorHAnsi"/>
          <w:b/>
          <w:bCs/>
          <w:sz w:val="20"/>
          <w:szCs w:val="20"/>
          <w:lang w:val="es-ES_tradnl"/>
        </w:rPr>
      </w:pPr>
      <w:r w:rsidRPr="00C80F8E">
        <w:rPr>
          <w:rFonts w:ascii="Abadi" w:hAnsi="Abadi" w:cstheme="minorHAnsi"/>
          <w:b/>
          <w:bCs/>
          <w:sz w:val="20"/>
          <w:szCs w:val="20"/>
          <w:lang w:val="es-ES_tradnl"/>
        </w:rPr>
        <w:t>6.8</w:t>
      </w:r>
      <w:r w:rsidRPr="00C80F8E">
        <w:rPr>
          <w:rFonts w:ascii="Abadi" w:hAnsi="Abadi" w:cstheme="minorHAnsi"/>
          <w:b/>
          <w:bCs/>
          <w:sz w:val="20"/>
          <w:szCs w:val="20"/>
          <w:lang w:val="es-ES_tradnl"/>
        </w:rPr>
        <w:tab/>
      </w:r>
      <w:r w:rsidR="00675CFD" w:rsidRPr="00C80F8E">
        <w:rPr>
          <w:rFonts w:ascii="Abadi" w:hAnsi="Abadi" w:cstheme="minorHAnsi"/>
          <w:b/>
          <w:bCs/>
          <w:sz w:val="20"/>
          <w:szCs w:val="20"/>
          <w:lang w:val="es-ES_tradnl"/>
        </w:rPr>
        <w:t>Arrendamiento operativo</w:t>
      </w:r>
      <w:r w:rsidR="0080727E" w:rsidRPr="00C80F8E">
        <w:rPr>
          <w:rFonts w:ascii="Abadi" w:hAnsi="Abadi" w:cstheme="minorHAnsi"/>
          <w:b/>
          <w:bCs/>
          <w:sz w:val="20"/>
          <w:szCs w:val="20"/>
          <w:lang w:val="es-ES_tradnl"/>
        </w:rPr>
        <w:t>:</w:t>
      </w:r>
    </w:p>
    <w:p w14:paraId="521E1BE5" w14:textId="77777777" w:rsidR="009D1DC1" w:rsidRPr="00C80F8E" w:rsidRDefault="0080727E" w:rsidP="00AA74EB">
      <w:pPr>
        <w:jc w:val="both"/>
        <w:rPr>
          <w:rFonts w:ascii="Abadi" w:hAnsi="Abadi" w:cstheme="minorHAnsi"/>
          <w:sz w:val="20"/>
          <w:szCs w:val="20"/>
          <w:lang w:val="es-ES_tradnl"/>
        </w:rPr>
      </w:pPr>
      <w:r w:rsidRPr="00C80F8E">
        <w:rPr>
          <w:rFonts w:ascii="Abadi" w:hAnsi="Abadi" w:cstheme="minorHAnsi"/>
          <w:sz w:val="20"/>
          <w:szCs w:val="20"/>
          <w:lang w:val="es-ES_tradnl"/>
        </w:rPr>
        <w:t>Los arrendamientos se consideran como operativos cuando el propietario de un activo transfiere el derecho de uso</w:t>
      </w:r>
      <w:r w:rsidR="00BC1484" w:rsidRPr="00C80F8E">
        <w:rPr>
          <w:rFonts w:ascii="Abadi" w:hAnsi="Abadi" w:cstheme="minorHAnsi"/>
          <w:sz w:val="20"/>
          <w:szCs w:val="20"/>
          <w:lang w:val="es-ES_tradnl"/>
        </w:rPr>
        <w:t xml:space="preserve"> a otra persona a cambio del pago de una suma periódica.</w:t>
      </w:r>
    </w:p>
    <w:p w14:paraId="6820F2FC" w14:textId="5CF61B20" w:rsidR="00BC1484" w:rsidRPr="00C80F8E" w:rsidRDefault="000F7D83" w:rsidP="00AA74EB">
      <w:pPr>
        <w:jc w:val="both"/>
        <w:rPr>
          <w:rFonts w:ascii="Abadi" w:hAnsi="Abadi" w:cstheme="minorHAnsi"/>
          <w:sz w:val="20"/>
          <w:szCs w:val="20"/>
          <w:lang w:val="es-ES_tradnl"/>
        </w:rPr>
      </w:pPr>
      <w:r w:rsidRPr="00C80F8E">
        <w:rPr>
          <w:rFonts w:ascii="Abadi" w:hAnsi="Abadi" w:cstheme="minorHAnsi"/>
          <w:sz w:val="20"/>
          <w:szCs w:val="20"/>
          <w:lang w:val="es-ES_tradnl"/>
        </w:rPr>
        <w:t>La Superintendencia</w:t>
      </w:r>
      <w:r w:rsidR="00BC1484" w:rsidRPr="00C80F8E">
        <w:rPr>
          <w:rFonts w:ascii="Abadi" w:hAnsi="Abadi" w:cstheme="minorHAnsi"/>
          <w:sz w:val="20"/>
          <w:szCs w:val="20"/>
          <w:lang w:val="es-ES_tradnl"/>
        </w:rPr>
        <w:t xml:space="preserve"> tiene local</w:t>
      </w:r>
      <w:r w:rsidR="00AF52B1" w:rsidRPr="00C80F8E">
        <w:rPr>
          <w:rFonts w:ascii="Abadi" w:hAnsi="Abadi" w:cstheme="minorHAnsi"/>
          <w:sz w:val="20"/>
          <w:szCs w:val="20"/>
          <w:lang w:val="es-ES_tradnl"/>
        </w:rPr>
        <w:t xml:space="preserve"> bajo contratos de arrendamientos </w:t>
      </w:r>
      <w:r w:rsidR="00122A08">
        <w:rPr>
          <w:rFonts w:ascii="Abadi" w:hAnsi="Abadi" w:cstheme="minorHAnsi"/>
          <w:sz w:val="20"/>
          <w:szCs w:val="20"/>
          <w:lang w:val="es-ES_tradnl"/>
        </w:rPr>
        <w:t>el</w:t>
      </w:r>
      <w:r w:rsidR="00862AF2" w:rsidRPr="00C80F8E">
        <w:rPr>
          <w:rFonts w:ascii="Abadi" w:hAnsi="Abadi" w:cstheme="minorHAnsi"/>
          <w:sz w:val="20"/>
          <w:szCs w:val="20"/>
          <w:lang w:val="es-ES_tradnl"/>
        </w:rPr>
        <w:t xml:space="preserve"> cual, por su naturaleza se clasifican en arrendamientos </w:t>
      </w:r>
      <w:r w:rsidR="00D42A70" w:rsidRPr="00C80F8E">
        <w:rPr>
          <w:rFonts w:ascii="Abadi" w:hAnsi="Abadi" w:cstheme="minorHAnsi"/>
          <w:sz w:val="20"/>
          <w:szCs w:val="20"/>
          <w:lang w:val="es-ES_tradnl"/>
        </w:rPr>
        <w:t xml:space="preserve">operativos.  Al </w:t>
      </w:r>
      <w:r w:rsidR="003264A1" w:rsidRPr="00C80F8E">
        <w:rPr>
          <w:rFonts w:ascii="Abadi" w:hAnsi="Abadi" w:cstheme="minorHAnsi"/>
          <w:sz w:val="20"/>
          <w:szCs w:val="20"/>
          <w:lang w:val="es-ES_tradnl"/>
        </w:rPr>
        <w:t xml:space="preserve">30 de </w:t>
      </w:r>
      <w:r w:rsidR="005C278F" w:rsidRPr="00C80F8E">
        <w:rPr>
          <w:rFonts w:ascii="Abadi" w:hAnsi="Abadi" w:cstheme="minorHAnsi"/>
          <w:sz w:val="20"/>
          <w:szCs w:val="20"/>
          <w:lang w:val="es-ES_tradnl"/>
        </w:rPr>
        <w:t>junio</w:t>
      </w:r>
      <w:r w:rsidR="00D42A70" w:rsidRPr="00C80F8E">
        <w:rPr>
          <w:rFonts w:ascii="Abadi" w:hAnsi="Abadi" w:cstheme="minorHAnsi"/>
          <w:sz w:val="20"/>
          <w:szCs w:val="20"/>
          <w:lang w:val="es-ES_tradnl"/>
        </w:rPr>
        <w:t xml:space="preserve"> de </w:t>
      </w:r>
      <w:r w:rsidR="00EA10FC" w:rsidRPr="00C80F8E">
        <w:rPr>
          <w:rFonts w:ascii="Abadi" w:hAnsi="Abadi" w:cstheme="minorHAnsi"/>
          <w:sz w:val="20"/>
          <w:szCs w:val="20"/>
          <w:lang w:val="es-ES_tradnl"/>
        </w:rPr>
        <w:t>202</w:t>
      </w:r>
      <w:r w:rsidR="005C278F" w:rsidRPr="00C80F8E">
        <w:rPr>
          <w:rFonts w:ascii="Abadi" w:hAnsi="Abadi" w:cstheme="minorHAnsi"/>
          <w:sz w:val="20"/>
          <w:szCs w:val="20"/>
          <w:lang w:val="es-ES_tradnl"/>
        </w:rPr>
        <w:t>5</w:t>
      </w:r>
      <w:r w:rsidR="00D42A70" w:rsidRPr="00C80F8E">
        <w:rPr>
          <w:rFonts w:ascii="Abadi" w:hAnsi="Abadi" w:cstheme="minorHAnsi"/>
          <w:sz w:val="20"/>
          <w:szCs w:val="20"/>
          <w:lang w:val="es-ES_tradnl"/>
        </w:rPr>
        <w:t xml:space="preserve"> y </w:t>
      </w:r>
      <w:r w:rsidR="004567A7" w:rsidRPr="00C80F8E">
        <w:rPr>
          <w:rFonts w:ascii="Abadi" w:hAnsi="Abadi" w:cstheme="minorHAnsi"/>
          <w:sz w:val="20"/>
          <w:szCs w:val="20"/>
          <w:lang w:val="es-ES_tradnl"/>
        </w:rPr>
        <w:t>202</w:t>
      </w:r>
      <w:r w:rsidR="005C278F" w:rsidRPr="00C80F8E">
        <w:rPr>
          <w:rFonts w:ascii="Abadi" w:hAnsi="Abadi" w:cstheme="minorHAnsi"/>
          <w:sz w:val="20"/>
          <w:szCs w:val="20"/>
          <w:lang w:val="es-ES_tradnl"/>
        </w:rPr>
        <w:t>4</w:t>
      </w:r>
      <w:r w:rsidR="00A93477" w:rsidRPr="00C80F8E">
        <w:rPr>
          <w:rFonts w:ascii="Abadi" w:hAnsi="Abadi" w:cstheme="minorHAnsi"/>
          <w:sz w:val="20"/>
          <w:szCs w:val="20"/>
          <w:lang w:val="es-ES_tradnl"/>
        </w:rPr>
        <w:t xml:space="preserve">, los desembolsos por este concepto ascienden a </w:t>
      </w:r>
      <w:r w:rsidR="000D5497" w:rsidRPr="00C80F8E">
        <w:rPr>
          <w:rFonts w:ascii="Abadi" w:hAnsi="Abadi" w:cstheme="minorHAnsi"/>
          <w:sz w:val="20"/>
          <w:szCs w:val="20"/>
          <w:lang w:val="es-ES_tradnl"/>
        </w:rPr>
        <w:t>RD$/DOP$</w:t>
      </w:r>
      <w:r w:rsidR="002A1B62">
        <w:rPr>
          <w:rFonts w:ascii="Abadi" w:hAnsi="Abadi" w:cstheme="minorHAnsi"/>
          <w:sz w:val="20"/>
          <w:szCs w:val="20"/>
          <w:lang w:val="es-ES_tradnl"/>
        </w:rPr>
        <w:t>346,118.25</w:t>
      </w:r>
      <w:r w:rsidR="00FA0C65" w:rsidRPr="00C80F8E">
        <w:rPr>
          <w:rFonts w:ascii="Abadi" w:hAnsi="Abadi" w:cstheme="minorHAnsi"/>
          <w:sz w:val="20"/>
          <w:szCs w:val="20"/>
          <w:lang w:val="es-ES_tradnl"/>
        </w:rPr>
        <w:t xml:space="preserve"> y </w:t>
      </w:r>
      <w:r w:rsidR="000D5497" w:rsidRPr="00C80F8E">
        <w:rPr>
          <w:rFonts w:ascii="Abadi" w:hAnsi="Abadi" w:cstheme="minorHAnsi"/>
          <w:sz w:val="20"/>
          <w:szCs w:val="20"/>
          <w:lang w:val="es-ES_tradnl"/>
        </w:rPr>
        <w:t>RD$/DOP$</w:t>
      </w:r>
      <w:r w:rsidR="002A1B62">
        <w:rPr>
          <w:rFonts w:ascii="Abadi" w:hAnsi="Abadi" w:cstheme="minorHAnsi"/>
          <w:sz w:val="20"/>
          <w:szCs w:val="20"/>
          <w:lang w:val="es-ES_tradnl"/>
        </w:rPr>
        <w:t>246,773.40</w:t>
      </w:r>
      <w:r w:rsidR="00FA0C65" w:rsidRPr="00C80F8E">
        <w:rPr>
          <w:rFonts w:ascii="Abadi" w:hAnsi="Abadi" w:cstheme="minorHAnsi"/>
          <w:sz w:val="20"/>
          <w:szCs w:val="20"/>
          <w:lang w:val="es-ES_tradnl"/>
        </w:rPr>
        <w:t xml:space="preserve">, respectivamente, los cuales se muestran en la Nota </w:t>
      </w:r>
      <w:r w:rsidR="00E750C8">
        <w:rPr>
          <w:rFonts w:ascii="Abadi" w:hAnsi="Abadi" w:cstheme="minorHAnsi"/>
          <w:sz w:val="20"/>
          <w:szCs w:val="20"/>
          <w:lang w:val="es-ES_tradnl"/>
        </w:rPr>
        <w:t>25</w:t>
      </w:r>
      <w:r w:rsidR="00722E0C" w:rsidRPr="00C80F8E">
        <w:rPr>
          <w:rFonts w:ascii="Abadi" w:hAnsi="Abadi" w:cstheme="minorHAnsi"/>
          <w:sz w:val="20"/>
          <w:szCs w:val="20"/>
          <w:lang w:val="es-ES_tradnl"/>
        </w:rPr>
        <w:t>, de Alquileres y Rentas.</w:t>
      </w:r>
    </w:p>
    <w:p w14:paraId="5316A2BC" w14:textId="77777777" w:rsidR="00AA74EB" w:rsidRPr="00C80F8E" w:rsidRDefault="008808B4" w:rsidP="00AA74EB">
      <w:pPr>
        <w:jc w:val="both"/>
        <w:rPr>
          <w:rFonts w:ascii="Abadi" w:hAnsi="Abadi" w:cstheme="minorHAnsi"/>
          <w:b/>
          <w:sz w:val="20"/>
          <w:szCs w:val="20"/>
          <w:lang w:val="es-ES_tradnl"/>
        </w:rPr>
      </w:pPr>
      <w:bookmarkStart w:id="32" w:name="_Toc155686862"/>
      <w:bookmarkStart w:id="33" w:name="_Toc191191231"/>
      <w:bookmarkStart w:id="34" w:name="_Toc207181384"/>
      <w:bookmarkStart w:id="35" w:name="_Toc208202806"/>
      <w:r w:rsidRPr="00C80F8E">
        <w:rPr>
          <w:rFonts w:ascii="Abadi" w:hAnsi="Abadi" w:cstheme="minorHAnsi"/>
          <w:b/>
          <w:bCs/>
          <w:sz w:val="20"/>
          <w:szCs w:val="20"/>
          <w:lang w:val="es-ES_tradnl"/>
        </w:rPr>
        <w:t>6.9</w:t>
      </w:r>
      <w:r w:rsidRPr="00C80F8E">
        <w:rPr>
          <w:rFonts w:ascii="Abadi" w:hAnsi="Abadi" w:cstheme="minorHAnsi"/>
          <w:b/>
          <w:bCs/>
          <w:sz w:val="20"/>
          <w:szCs w:val="20"/>
          <w:lang w:val="es-ES_tradnl"/>
        </w:rPr>
        <w:tab/>
      </w:r>
      <w:r w:rsidR="00AA74EB" w:rsidRPr="00C80F8E">
        <w:rPr>
          <w:rFonts w:ascii="Abadi" w:hAnsi="Abadi" w:cstheme="minorHAnsi"/>
          <w:b/>
          <w:sz w:val="20"/>
          <w:szCs w:val="20"/>
          <w:lang w:val="es-ES_tradnl"/>
        </w:rPr>
        <w:t>Patrimonio</w:t>
      </w:r>
      <w:bookmarkEnd w:id="32"/>
      <w:bookmarkEnd w:id="33"/>
      <w:bookmarkEnd w:id="34"/>
      <w:bookmarkEnd w:id="35"/>
    </w:p>
    <w:p w14:paraId="266DE36F" w14:textId="77777777" w:rsidR="00AA74EB"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el cual consiste en el registro  de carácter transitorio que refleja los movimientos positivos con respecto a la construcción de bienes de dominio público, de la Administración Central, de los Organismos Descentralizados y de las Instituciones de la Seguridad Social, que conforman el denominado Patrimonio Público.</w:t>
      </w:r>
    </w:p>
    <w:p w14:paraId="60BAEAB2" w14:textId="77777777" w:rsidR="00AA74EB"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Las transferencias de capital recibidas en efectivo, procedentes del Sector Privado y del Sector Público, se registran y exponen a su valor nominal, y en los casos de transferencias de bienes, por su valor de mercado.</w:t>
      </w:r>
    </w:p>
    <w:p w14:paraId="7DCA928A" w14:textId="77777777" w:rsidR="00AA74EB"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Las donaciones de capital recibidas en efectivo, procedentes de Gobiernos Extranjeros, Organismos Internacionales y del Sector Privado Externo, recibidas en moneda extranjera, se registran al tipo de cambio vigente a la fecha del ingreso de los fondos.</w:t>
      </w:r>
    </w:p>
    <w:p w14:paraId="5F64BD34" w14:textId="77777777" w:rsidR="00AA74EB" w:rsidRPr="00C80F8E" w:rsidRDefault="00AA74EB" w:rsidP="00AA74EB">
      <w:pPr>
        <w:jc w:val="both"/>
        <w:rPr>
          <w:rFonts w:ascii="Abadi" w:hAnsi="Abadi" w:cstheme="minorHAnsi"/>
          <w:sz w:val="20"/>
          <w:szCs w:val="20"/>
          <w:lang w:val="es-ES_tradnl"/>
        </w:rPr>
      </w:pPr>
      <w:r w:rsidRPr="00C80F8E">
        <w:rPr>
          <w:rFonts w:ascii="Abadi" w:hAnsi="Abadi" w:cstheme="minorHAnsi"/>
          <w:sz w:val="20"/>
          <w:szCs w:val="20"/>
          <w:lang w:val="es-ES_tradnl"/>
        </w:rPr>
        <w:t>Los resultados de la cuenta corriente expresan las diferencias entre los ingresos y los egresos obtenidos a través de la gestión fiscal de la entidad económica, para el ejercicio contable de que se trate.</w:t>
      </w:r>
    </w:p>
    <w:p w14:paraId="2D6278E5" w14:textId="77777777" w:rsidR="006017E4" w:rsidRPr="00C80F8E" w:rsidRDefault="006017E4" w:rsidP="00AA74EB">
      <w:pPr>
        <w:jc w:val="both"/>
        <w:rPr>
          <w:rFonts w:ascii="Abadi" w:hAnsi="Abadi" w:cstheme="minorHAnsi"/>
          <w:sz w:val="20"/>
          <w:szCs w:val="20"/>
          <w:lang w:val="es-ES_tradnl"/>
        </w:rPr>
      </w:pPr>
    </w:p>
    <w:p w14:paraId="26CBABFB" w14:textId="1712A809" w:rsidR="00652271" w:rsidRPr="00C80F8E" w:rsidRDefault="008808B4" w:rsidP="00AA74EB">
      <w:pPr>
        <w:jc w:val="both"/>
        <w:rPr>
          <w:rFonts w:ascii="Abadi" w:hAnsi="Abadi" w:cstheme="minorHAnsi"/>
          <w:b/>
          <w:sz w:val="20"/>
          <w:szCs w:val="20"/>
          <w:lang w:val="es-ES_tradnl"/>
        </w:rPr>
      </w:pPr>
      <w:bookmarkStart w:id="36" w:name="_Toc155686863"/>
      <w:bookmarkStart w:id="37" w:name="_Toc191191232"/>
      <w:bookmarkStart w:id="38" w:name="_Toc196626060"/>
      <w:bookmarkStart w:id="39" w:name="_Toc207181385"/>
      <w:bookmarkStart w:id="40" w:name="_Toc208202807"/>
      <w:r w:rsidRPr="00C80F8E">
        <w:rPr>
          <w:rFonts w:ascii="Abadi" w:hAnsi="Abadi" w:cstheme="minorHAnsi"/>
          <w:b/>
          <w:bCs/>
          <w:sz w:val="20"/>
          <w:szCs w:val="20"/>
          <w:lang w:val="es-ES_tradnl"/>
        </w:rPr>
        <w:lastRenderedPageBreak/>
        <w:t>6.10</w:t>
      </w:r>
      <w:r w:rsidRPr="00C80F8E">
        <w:rPr>
          <w:rFonts w:ascii="Abadi" w:hAnsi="Abadi" w:cstheme="minorHAnsi"/>
          <w:b/>
          <w:bCs/>
          <w:sz w:val="20"/>
          <w:szCs w:val="20"/>
          <w:lang w:val="es-ES_tradnl"/>
        </w:rPr>
        <w:tab/>
      </w:r>
      <w:r w:rsidR="0098611F" w:rsidRPr="00C80F8E">
        <w:rPr>
          <w:rFonts w:ascii="Abadi" w:hAnsi="Abadi" w:cstheme="minorHAnsi"/>
          <w:b/>
          <w:sz w:val="20"/>
          <w:szCs w:val="20"/>
          <w:lang w:val="es-ES_tradnl"/>
        </w:rPr>
        <w:t>Beneficios a los empleados:</w:t>
      </w:r>
    </w:p>
    <w:p w14:paraId="4E0BA94A" w14:textId="443E7067" w:rsidR="00755D25" w:rsidRPr="00C80F8E" w:rsidRDefault="008808B4" w:rsidP="008808B4">
      <w:p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    </w:t>
      </w:r>
      <w:r w:rsidR="001B4746" w:rsidRPr="00C80F8E">
        <w:rPr>
          <w:rFonts w:ascii="Abadi" w:hAnsi="Abadi" w:cstheme="minorHAnsi"/>
          <w:b/>
          <w:sz w:val="20"/>
          <w:szCs w:val="20"/>
          <w:lang w:val="es-ES_tradnl"/>
        </w:rPr>
        <w:t>6.10.1 El</w:t>
      </w:r>
      <w:r w:rsidR="0088539E" w:rsidRPr="00C80F8E">
        <w:rPr>
          <w:rFonts w:ascii="Abadi" w:hAnsi="Abadi" w:cstheme="minorHAnsi"/>
          <w:b/>
          <w:sz w:val="20"/>
          <w:szCs w:val="20"/>
          <w:lang w:val="es-ES_tradnl"/>
        </w:rPr>
        <w:t xml:space="preserve"> Sistema Dominicano de la Seguridad Social</w:t>
      </w:r>
    </w:p>
    <w:p w14:paraId="306A6276" w14:textId="5966ECA7" w:rsidR="00ED6EBD" w:rsidRPr="00C80F8E" w:rsidRDefault="00D10FC0" w:rsidP="00AA74EB">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Los aportes y contribuciones efectuados </w:t>
      </w:r>
      <w:r w:rsidR="00361063" w:rsidRPr="00C80F8E">
        <w:rPr>
          <w:rFonts w:ascii="Abadi" w:hAnsi="Abadi" w:cstheme="minorHAnsi"/>
          <w:bCs/>
          <w:sz w:val="20"/>
          <w:szCs w:val="20"/>
          <w:lang w:val="es-ES_tradnl"/>
        </w:rPr>
        <w:t xml:space="preserve">a la </w:t>
      </w:r>
      <w:r w:rsidR="00C61565" w:rsidRPr="00C80F8E">
        <w:rPr>
          <w:rFonts w:ascii="Abadi" w:hAnsi="Abadi" w:cstheme="minorHAnsi"/>
          <w:bCs/>
          <w:sz w:val="20"/>
          <w:szCs w:val="20"/>
          <w:lang w:val="es-ES_tradnl"/>
        </w:rPr>
        <w:t>institución del Sistema Dominicano de la Seguridad Social por los beneficios a los empleados se registran en gastos.  Según lo establece la Ley 87-01, que crea el Sistema Dominicano de la Seguridad Social</w:t>
      </w:r>
      <w:r w:rsidR="003525F3" w:rsidRPr="00C80F8E">
        <w:rPr>
          <w:rFonts w:ascii="Abadi" w:hAnsi="Abadi" w:cstheme="minorHAnsi"/>
          <w:bCs/>
          <w:sz w:val="20"/>
          <w:szCs w:val="20"/>
          <w:lang w:val="es-ES_tradnl"/>
        </w:rPr>
        <w:t>,</w:t>
      </w:r>
      <w:r w:rsidR="00C85F79" w:rsidRPr="00C80F8E">
        <w:rPr>
          <w:rFonts w:ascii="Abadi" w:hAnsi="Abadi" w:cstheme="minorHAnsi"/>
          <w:bCs/>
          <w:sz w:val="20"/>
          <w:szCs w:val="20"/>
          <w:lang w:val="es-ES_tradnl"/>
        </w:rPr>
        <w:t xml:space="preserve"> </w:t>
      </w:r>
      <w:r w:rsidR="00D72BF5" w:rsidRPr="00C80F8E">
        <w:rPr>
          <w:rFonts w:ascii="Abadi" w:hAnsi="Abadi" w:cstheme="minorHAnsi"/>
          <w:bCs/>
          <w:sz w:val="20"/>
          <w:szCs w:val="20"/>
          <w:lang w:val="es-ES_tradnl"/>
        </w:rPr>
        <w:t>la</w:t>
      </w:r>
      <w:r w:rsidR="00C85F79" w:rsidRPr="00C80F8E">
        <w:rPr>
          <w:rFonts w:ascii="Abadi" w:hAnsi="Abadi" w:cstheme="minorHAnsi"/>
          <w:bCs/>
          <w:sz w:val="20"/>
          <w:szCs w:val="20"/>
          <w:lang w:val="es-ES_tradnl"/>
        </w:rPr>
        <w:t xml:space="preserve"> </w:t>
      </w:r>
      <w:r w:rsidR="00D534E6" w:rsidRPr="00C80F8E">
        <w:rPr>
          <w:rFonts w:ascii="Abadi" w:hAnsi="Abadi" w:cstheme="minorHAnsi"/>
          <w:bCs/>
          <w:sz w:val="20"/>
          <w:szCs w:val="20"/>
          <w:lang w:val="es-ES_tradnl"/>
        </w:rPr>
        <w:t>SIPEN</w:t>
      </w:r>
      <w:r w:rsidR="00C85F79" w:rsidRPr="00C80F8E">
        <w:rPr>
          <w:rFonts w:ascii="Abadi" w:hAnsi="Abadi" w:cstheme="minorHAnsi"/>
          <w:bCs/>
          <w:sz w:val="20"/>
          <w:szCs w:val="20"/>
          <w:lang w:val="es-ES_tradnl"/>
        </w:rPr>
        <w:t xml:space="preserve"> aporta</w:t>
      </w:r>
      <w:r w:rsidR="00395916" w:rsidRPr="00C80F8E">
        <w:rPr>
          <w:rFonts w:ascii="Abadi" w:hAnsi="Abadi" w:cstheme="minorHAnsi"/>
          <w:bCs/>
          <w:sz w:val="20"/>
          <w:szCs w:val="20"/>
          <w:lang w:val="es-ES_tradnl"/>
        </w:rPr>
        <w:t xml:space="preserve"> un 7.10 del salario y el afiliado (</w:t>
      </w:r>
      <w:r w:rsidR="00527D77" w:rsidRPr="00C80F8E">
        <w:rPr>
          <w:rFonts w:ascii="Abadi" w:hAnsi="Abadi" w:cstheme="minorHAnsi"/>
          <w:bCs/>
          <w:sz w:val="20"/>
          <w:szCs w:val="20"/>
          <w:lang w:val="es-ES_tradnl"/>
        </w:rPr>
        <w:t>empleado) un 2.87% de su sueldo</w:t>
      </w:r>
      <w:r w:rsidR="008073BD" w:rsidRPr="00C80F8E">
        <w:rPr>
          <w:rFonts w:ascii="Abadi" w:hAnsi="Abadi" w:cstheme="minorHAnsi"/>
          <w:bCs/>
          <w:sz w:val="20"/>
          <w:szCs w:val="20"/>
          <w:lang w:val="es-ES_tradnl"/>
        </w:rPr>
        <w:t xml:space="preserve"> para </w:t>
      </w:r>
      <w:r w:rsidR="00071860" w:rsidRPr="00C80F8E">
        <w:rPr>
          <w:rFonts w:ascii="Abadi" w:hAnsi="Abadi" w:cstheme="minorHAnsi"/>
          <w:bCs/>
          <w:sz w:val="20"/>
          <w:szCs w:val="20"/>
          <w:lang w:val="es-ES_tradnl"/>
        </w:rPr>
        <w:t>Seguro de Vejez</w:t>
      </w:r>
      <w:r w:rsidR="00474DA4" w:rsidRPr="00C80F8E">
        <w:rPr>
          <w:rFonts w:ascii="Abadi" w:hAnsi="Abadi" w:cstheme="minorHAnsi"/>
          <w:bCs/>
          <w:sz w:val="20"/>
          <w:szCs w:val="20"/>
          <w:lang w:val="es-ES_tradnl"/>
        </w:rPr>
        <w:t xml:space="preserve">, </w:t>
      </w:r>
      <w:r w:rsidR="00675CFD" w:rsidRPr="00C80F8E">
        <w:rPr>
          <w:rFonts w:ascii="Abadi" w:hAnsi="Abadi" w:cstheme="minorHAnsi"/>
          <w:bCs/>
          <w:sz w:val="20"/>
          <w:szCs w:val="20"/>
          <w:lang w:val="es-ES_tradnl"/>
        </w:rPr>
        <w:t>Discapacidad</w:t>
      </w:r>
      <w:r w:rsidR="00474DA4" w:rsidRPr="00C80F8E">
        <w:rPr>
          <w:rFonts w:ascii="Abadi" w:hAnsi="Abadi" w:cstheme="minorHAnsi"/>
          <w:bCs/>
          <w:sz w:val="20"/>
          <w:szCs w:val="20"/>
          <w:lang w:val="es-ES_tradnl"/>
        </w:rPr>
        <w:t xml:space="preserve"> y Sobrevivencia</w:t>
      </w:r>
      <w:r w:rsidR="00527D77" w:rsidRPr="00C80F8E">
        <w:rPr>
          <w:rFonts w:ascii="Abadi" w:hAnsi="Abadi" w:cstheme="minorHAnsi"/>
          <w:bCs/>
          <w:sz w:val="20"/>
          <w:szCs w:val="20"/>
          <w:lang w:val="es-ES_tradnl"/>
        </w:rPr>
        <w:t xml:space="preserve">.  </w:t>
      </w:r>
      <w:r w:rsidR="000F7D83" w:rsidRPr="00C80F8E">
        <w:rPr>
          <w:rFonts w:ascii="Abadi" w:hAnsi="Abadi" w:cstheme="minorHAnsi"/>
          <w:bCs/>
          <w:sz w:val="20"/>
          <w:szCs w:val="20"/>
          <w:lang w:val="es-ES_tradnl"/>
        </w:rPr>
        <w:t>La Superintendencia</w:t>
      </w:r>
      <w:r w:rsidR="00675CFD" w:rsidRPr="00C80F8E">
        <w:rPr>
          <w:rFonts w:ascii="Abadi" w:hAnsi="Abadi" w:cstheme="minorHAnsi"/>
          <w:bCs/>
          <w:sz w:val="20"/>
          <w:szCs w:val="20"/>
          <w:lang w:val="es-ES_tradnl"/>
        </w:rPr>
        <w:t xml:space="preserve"> también</w:t>
      </w:r>
      <w:r w:rsidR="00527D77" w:rsidRPr="00C80F8E">
        <w:rPr>
          <w:rFonts w:ascii="Abadi" w:hAnsi="Abadi" w:cstheme="minorHAnsi"/>
          <w:bCs/>
          <w:sz w:val="20"/>
          <w:szCs w:val="20"/>
          <w:lang w:val="es-ES_tradnl"/>
        </w:rPr>
        <w:t xml:space="preserve"> aporta, además, un </w:t>
      </w:r>
      <w:r w:rsidR="00FF0800" w:rsidRPr="00C80F8E">
        <w:rPr>
          <w:rFonts w:ascii="Abadi" w:hAnsi="Abadi" w:cstheme="minorHAnsi"/>
          <w:bCs/>
          <w:sz w:val="20"/>
          <w:szCs w:val="20"/>
          <w:lang w:val="es-ES_tradnl"/>
        </w:rPr>
        <w:t xml:space="preserve">1.3% del salario para cubrir </w:t>
      </w:r>
      <w:r w:rsidR="004F2D91" w:rsidRPr="00C80F8E">
        <w:rPr>
          <w:rFonts w:ascii="Abadi" w:hAnsi="Abadi" w:cstheme="minorHAnsi"/>
          <w:bCs/>
          <w:sz w:val="20"/>
          <w:szCs w:val="20"/>
          <w:lang w:val="es-ES_tradnl"/>
        </w:rPr>
        <w:t>el Seguro de</w:t>
      </w:r>
      <w:r w:rsidR="00FF0800" w:rsidRPr="00C80F8E">
        <w:rPr>
          <w:rFonts w:ascii="Abadi" w:hAnsi="Abadi" w:cstheme="minorHAnsi"/>
          <w:bCs/>
          <w:sz w:val="20"/>
          <w:szCs w:val="20"/>
          <w:lang w:val="es-ES_tradnl"/>
        </w:rPr>
        <w:t xml:space="preserve"> Riesgos Laborales, así también el Seguro Familiar de Salud, en cual</w:t>
      </w:r>
      <w:r w:rsidR="003525F3" w:rsidRPr="00C80F8E">
        <w:rPr>
          <w:rFonts w:ascii="Abadi" w:hAnsi="Abadi" w:cstheme="minorHAnsi"/>
          <w:bCs/>
          <w:sz w:val="20"/>
          <w:szCs w:val="20"/>
          <w:lang w:val="es-ES_tradnl"/>
        </w:rPr>
        <w:t xml:space="preserve">, </w:t>
      </w:r>
      <w:r w:rsidR="000F7D83" w:rsidRPr="00C80F8E">
        <w:rPr>
          <w:rFonts w:ascii="Abadi" w:hAnsi="Abadi" w:cstheme="minorHAnsi"/>
          <w:bCs/>
          <w:sz w:val="20"/>
          <w:szCs w:val="20"/>
          <w:lang w:val="es-ES_tradnl"/>
        </w:rPr>
        <w:t>la Superintendencia</w:t>
      </w:r>
      <w:r w:rsidR="003525F3" w:rsidRPr="00C80F8E">
        <w:rPr>
          <w:rFonts w:ascii="Abadi" w:hAnsi="Abadi" w:cstheme="minorHAnsi"/>
          <w:bCs/>
          <w:sz w:val="20"/>
          <w:szCs w:val="20"/>
          <w:lang w:val="es-ES_tradnl"/>
        </w:rPr>
        <w:t xml:space="preserve"> paga el 7.09% </w:t>
      </w:r>
      <w:r w:rsidR="00A57E98" w:rsidRPr="00C80F8E">
        <w:rPr>
          <w:rFonts w:ascii="Abadi" w:hAnsi="Abadi" w:cstheme="minorHAnsi"/>
          <w:bCs/>
          <w:sz w:val="20"/>
          <w:szCs w:val="20"/>
          <w:lang w:val="es-ES_tradnl"/>
        </w:rPr>
        <w:t xml:space="preserve">del salario y el empleado </w:t>
      </w:r>
      <w:r w:rsidR="00BF2150" w:rsidRPr="00C80F8E">
        <w:rPr>
          <w:rFonts w:ascii="Abadi" w:hAnsi="Abadi" w:cstheme="minorHAnsi"/>
          <w:bCs/>
          <w:sz w:val="20"/>
          <w:szCs w:val="20"/>
          <w:lang w:val="es-ES_tradnl"/>
        </w:rPr>
        <w:t>3.04%.</w:t>
      </w:r>
    </w:p>
    <w:p w14:paraId="7C5015E4" w14:textId="6C3A02B7" w:rsidR="0088539E" w:rsidRPr="00C80F8E" w:rsidRDefault="008808B4" w:rsidP="008808B4">
      <w:p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    </w:t>
      </w:r>
      <w:r w:rsidR="001B4746" w:rsidRPr="00C80F8E">
        <w:rPr>
          <w:rFonts w:ascii="Abadi" w:hAnsi="Abadi" w:cstheme="minorHAnsi"/>
          <w:b/>
          <w:sz w:val="20"/>
          <w:szCs w:val="20"/>
          <w:lang w:val="es-ES_tradnl"/>
        </w:rPr>
        <w:t>6.10.2 Prestaciones</w:t>
      </w:r>
      <w:r w:rsidR="0088539E" w:rsidRPr="00C80F8E">
        <w:rPr>
          <w:rFonts w:ascii="Abadi" w:hAnsi="Abadi" w:cstheme="minorHAnsi"/>
          <w:b/>
          <w:sz w:val="20"/>
          <w:szCs w:val="20"/>
          <w:lang w:val="es-ES_tradnl"/>
        </w:rPr>
        <w:t xml:space="preserve"> Laborales:</w:t>
      </w:r>
    </w:p>
    <w:p w14:paraId="2764C18B" w14:textId="789B2761" w:rsidR="00EE5ADD" w:rsidRPr="00C80F8E" w:rsidRDefault="006D6EB3" w:rsidP="00AA74EB">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La ley </w:t>
      </w:r>
      <w:r w:rsidR="00055068" w:rsidRPr="00C80F8E">
        <w:rPr>
          <w:rFonts w:ascii="Abadi" w:hAnsi="Abadi" w:cstheme="minorHAnsi"/>
          <w:bCs/>
          <w:sz w:val="20"/>
          <w:szCs w:val="20"/>
          <w:lang w:val="es-ES_tradnl"/>
        </w:rPr>
        <w:t>16-92</w:t>
      </w:r>
      <w:r w:rsidRPr="00C80F8E">
        <w:rPr>
          <w:rFonts w:ascii="Abadi" w:hAnsi="Abadi" w:cstheme="minorHAnsi"/>
          <w:bCs/>
          <w:sz w:val="20"/>
          <w:szCs w:val="20"/>
          <w:lang w:val="es-ES_tradnl"/>
        </w:rPr>
        <w:t xml:space="preserve"> de</w:t>
      </w:r>
      <w:r w:rsidR="00A60477" w:rsidRPr="00C80F8E">
        <w:rPr>
          <w:rFonts w:ascii="Abadi" w:hAnsi="Abadi" w:cstheme="minorHAnsi"/>
          <w:bCs/>
          <w:sz w:val="20"/>
          <w:szCs w:val="20"/>
          <w:lang w:val="es-ES_tradnl"/>
        </w:rPr>
        <w:t>l</w:t>
      </w:r>
      <w:r w:rsidRPr="00C80F8E">
        <w:rPr>
          <w:rFonts w:ascii="Abadi" w:hAnsi="Abadi" w:cstheme="minorHAnsi"/>
          <w:bCs/>
          <w:sz w:val="20"/>
          <w:szCs w:val="20"/>
          <w:lang w:val="es-ES_tradnl"/>
        </w:rPr>
        <w:t xml:space="preserve"> </w:t>
      </w:r>
      <w:r w:rsidR="00A60477" w:rsidRPr="00C80F8E">
        <w:rPr>
          <w:rFonts w:ascii="Abadi" w:hAnsi="Abadi" w:cstheme="minorHAnsi"/>
          <w:bCs/>
          <w:sz w:val="20"/>
          <w:szCs w:val="20"/>
          <w:lang w:val="es-ES_tradnl"/>
        </w:rPr>
        <w:t>código de trabajo</w:t>
      </w:r>
      <w:r w:rsidRPr="00C80F8E">
        <w:rPr>
          <w:rFonts w:ascii="Abadi" w:hAnsi="Abadi" w:cstheme="minorHAnsi"/>
          <w:bCs/>
          <w:sz w:val="20"/>
          <w:szCs w:val="20"/>
          <w:lang w:val="es-ES_tradnl"/>
        </w:rPr>
        <w:t xml:space="preserve">, sus reglamentos y aplicaciones requieren </w:t>
      </w:r>
      <w:r w:rsidR="000D6A29" w:rsidRPr="00C80F8E">
        <w:rPr>
          <w:rFonts w:ascii="Abadi" w:hAnsi="Abadi" w:cstheme="minorHAnsi"/>
          <w:bCs/>
          <w:sz w:val="20"/>
          <w:szCs w:val="20"/>
          <w:lang w:val="es-ES_tradnl"/>
        </w:rPr>
        <w:t>que,</w:t>
      </w:r>
      <w:r w:rsidRPr="00C80F8E">
        <w:rPr>
          <w:rFonts w:ascii="Abadi" w:hAnsi="Abadi" w:cstheme="minorHAnsi"/>
          <w:bCs/>
          <w:sz w:val="20"/>
          <w:szCs w:val="20"/>
          <w:lang w:val="es-ES_tradnl"/>
        </w:rPr>
        <w:t xml:space="preserve"> en el caso de </w:t>
      </w:r>
      <w:r w:rsidR="0018435E" w:rsidRPr="00C80F8E">
        <w:rPr>
          <w:rFonts w:ascii="Abadi" w:hAnsi="Abadi" w:cstheme="minorHAnsi"/>
          <w:bCs/>
          <w:sz w:val="20"/>
          <w:szCs w:val="20"/>
          <w:lang w:val="es-ES_tradnl"/>
        </w:rPr>
        <w:t xml:space="preserve">desvinculación de un servidor </w:t>
      </w:r>
      <w:r w:rsidR="00675CFD" w:rsidRPr="00C80F8E">
        <w:rPr>
          <w:rFonts w:ascii="Abadi" w:hAnsi="Abadi" w:cstheme="minorHAnsi"/>
          <w:bCs/>
          <w:sz w:val="20"/>
          <w:szCs w:val="20"/>
          <w:lang w:val="es-ES_tradnl"/>
        </w:rPr>
        <w:t>público</w:t>
      </w:r>
      <w:r w:rsidR="0018435E" w:rsidRPr="00C80F8E">
        <w:rPr>
          <w:rFonts w:ascii="Abadi" w:hAnsi="Abadi" w:cstheme="minorHAnsi"/>
          <w:bCs/>
          <w:sz w:val="20"/>
          <w:szCs w:val="20"/>
          <w:lang w:val="es-ES_tradnl"/>
        </w:rPr>
        <w:t xml:space="preserve">, al mismo le corresponde ser indemnizado por un salario por cada </w:t>
      </w:r>
      <w:r w:rsidR="00E17051" w:rsidRPr="00C80F8E">
        <w:rPr>
          <w:rFonts w:ascii="Abadi" w:hAnsi="Abadi" w:cstheme="minorHAnsi"/>
          <w:bCs/>
          <w:sz w:val="20"/>
          <w:szCs w:val="20"/>
          <w:lang w:val="es-ES_tradnl"/>
        </w:rPr>
        <w:t xml:space="preserve">año de servicio hasta los </w:t>
      </w:r>
      <w:r w:rsidR="009E59D1" w:rsidRPr="00C80F8E">
        <w:rPr>
          <w:rFonts w:ascii="Abadi" w:hAnsi="Abadi" w:cstheme="minorHAnsi"/>
          <w:bCs/>
          <w:sz w:val="20"/>
          <w:szCs w:val="20"/>
          <w:lang w:val="es-ES_tradnl"/>
        </w:rPr>
        <w:t>20</w:t>
      </w:r>
      <w:r w:rsidR="00E17051" w:rsidRPr="00C80F8E">
        <w:rPr>
          <w:rFonts w:ascii="Abadi" w:hAnsi="Abadi" w:cstheme="minorHAnsi"/>
          <w:bCs/>
          <w:sz w:val="20"/>
          <w:szCs w:val="20"/>
          <w:lang w:val="es-ES_tradnl"/>
        </w:rPr>
        <w:t xml:space="preserve"> a</w:t>
      </w:r>
      <w:r w:rsidR="007C08F3" w:rsidRPr="00C80F8E">
        <w:rPr>
          <w:rFonts w:ascii="Abadi" w:hAnsi="Abadi" w:cstheme="minorHAnsi"/>
          <w:bCs/>
          <w:sz w:val="20"/>
          <w:szCs w:val="20"/>
          <w:lang w:val="es-ES_tradnl"/>
        </w:rPr>
        <w:t>ños</w:t>
      </w:r>
      <w:r w:rsidR="00E17051" w:rsidRPr="00C80F8E">
        <w:rPr>
          <w:rFonts w:ascii="Abadi" w:hAnsi="Abadi" w:cstheme="minorHAnsi"/>
          <w:bCs/>
          <w:sz w:val="20"/>
          <w:szCs w:val="20"/>
          <w:lang w:val="es-ES_tradnl"/>
        </w:rPr>
        <w:t xml:space="preserve"> de servicios</w:t>
      </w:r>
      <w:r w:rsidR="007C08F3" w:rsidRPr="00C80F8E">
        <w:rPr>
          <w:rFonts w:ascii="Abadi" w:hAnsi="Abadi" w:cstheme="minorHAnsi"/>
          <w:bCs/>
          <w:sz w:val="20"/>
          <w:szCs w:val="20"/>
          <w:lang w:val="es-ES_tradnl"/>
        </w:rPr>
        <w:t xml:space="preserve">, </w:t>
      </w:r>
      <w:r w:rsidR="000F7D83" w:rsidRPr="00C80F8E">
        <w:rPr>
          <w:rFonts w:ascii="Abadi" w:hAnsi="Abadi" w:cstheme="minorHAnsi"/>
          <w:bCs/>
          <w:sz w:val="20"/>
          <w:szCs w:val="20"/>
          <w:lang w:val="es-ES_tradnl"/>
        </w:rPr>
        <w:t>la Superintendencia</w:t>
      </w:r>
      <w:r w:rsidR="007C08F3" w:rsidRPr="00C80F8E">
        <w:rPr>
          <w:rFonts w:ascii="Abadi" w:hAnsi="Abadi" w:cstheme="minorHAnsi"/>
          <w:bCs/>
          <w:sz w:val="20"/>
          <w:szCs w:val="20"/>
          <w:lang w:val="es-ES_tradnl"/>
        </w:rPr>
        <w:t xml:space="preserve"> registra el pago de prestaciones como gasto en la medida que se realiza el pago.</w:t>
      </w:r>
    </w:p>
    <w:p w14:paraId="5F61B2C2" w14:textId="77777777" w:rsidR="00AA74EB" w:rsidRPr="00C80F8E" w:rsidRDefault="008808B4" w:rsidP="00AA74EB">
      <w:pPr>
        <w:jc w:val="both"/>
        <w:rPr>
          <w:rFonts w:ascii="Abadi" w:hAnsi="Abadi" w:cstheme="minorHAnsi"/>
          <w:b/>
          <w:sz w:val="20"/>
          <w:szCs w:val="20"/>
          <w:lang w:val="es-ES_tradnl"/>
        </w:rPr>
      </w:pPr>
      <w:r w:rsidRPr="00C80F8E">
        <w:rPr>
          <w:rFonts w:ascii="Abadi" w:hAnsi="Abadi" w:cstheme="minorHAnsi"/>
          <w:b/>
          <w:bCs/>
          <w:sz w:val="20"/>
          <w:szCs w:val="20"/>
          <w:lang w:val="es-ES_tradnl"/>
        </w:rPr>
        <w:t>6.11</w:t>
      </w:r>
      <w:r w:rsidRPr="00C80F8E">
        <w:rPr>
          <w:rFonts w:ascii="Abadi" w:hAnsi="Abadi" w:cstheme="minorHAnsi"/>
          <w:b/>
          <w:bCs/>
          <w:sz w:val="20"/>
          <w:szCs w:val="20"/>
          <w:lang w:val="es-ES_tradnl"/>
        </w:rPr>
        <w:tab/>
      </w:r>
      <w:r w:rsidR="00AA74EB" w:rsidRPr="00C80F8E">
        <w:rPr>
          <w:rFonts w:ascii="Abadi" w:hAnsi="Abadi" w:cstheme="minorHAnsi"/>
          <w:b/>
          <w:sz w:val="20"/>
          <w:szCs w:val="20"/>
          <w:lang w:val="es-ES_tradnl"/>
        </w:rPr>
        <w:t>Reconocimiento de Ingresos y Gastos</w:t>
      </w:r>
      <w:bookmarkEnd w:id="36"/>
      <w:bookmarkEnd w:id="37"/>
      <w:bookmarkEnd w:id="38"/>
      <w:bookmarkEnd w:id="39"/>
      <w:bookmarkEnd w:id="40"/>
    </w:p>
    <w:p w14:paraId="42139E55" w14:textId="07A3BED9" w:rsidR="00AA74EB" w:rsidRPr="00C80F8E" w:rsidRDefault="00AA74EB" w:rsidP="00AA74EB">
      <w:pPr>
        <w:jc w:val="both"/>
        <w:rPr>
          <w:rFonts w:ascii="Abadi" w:hAnsi="Abadi" w:cstheme="minorHAnsi"/>
          <w:bCs/>
          <w:sz w:val="20"/>
          <w:szCs w:val="20"/>
          <w:lang w:val="es-ES_tradnl"/>
        </w:rPr>
      </w:pPr>
      <w:r w:rsidRPr="00C80F8E">
        <w:rPr>
          <w:rFonts w:ascii="Abadi" w:hAnsi="Abadi" w:cstheme="minorHAnsi"/>
          <w:sz w:val="20"/>
          <w:szCs w:val="20"/>
          <w:lang w:val="es-ES_tradnl"/>
        </w:rPr>
        <w:t>Los ingresos son reconocidos en los resultados del ejercicio a</w:t>
      </w:r>
      <w:r w:rsidRPr="00C80F8E">
        <w:rPr>
          <w:rFonts w:ascii="Abadi" w:hAnsi="Abadi" w:cstheme="minorHAnsi"/>
          <w:bCs/>
          <w:sz w:val="20"/>
          <w:szCs w:val="20"/>
          <w:lang w:val="es-ES_tradnl"/>
        </w:rPr>
        <w:t xml:space="preserve"> medida que se perciben, y los gastos se reconocen como devengado cuando los </w:t>
      </w:r>
      <w:r w:rsidR="002B73AD" w:rsidRPr="00C80F8E">
        <w:rPr>
          <w:rFonts w:ascii="Abadi" w:hAnsi="Abadi" w:cstheme="minorHAnsi"/>
          <w:bCs/>
          <w:sz w:val="20"/>
          <w:szCs w:val="20"/>
          <w:lang w:val="es-ES_tradnl"/>
        </w:rPr>
        <w:t xml:space="preserve">cheques, transferencia y </w:t>
      </w:r>
      <w:r w:rsidRPr="00C80F8E">
        <w:rPr>
          <w:rFonts w:ascii="Abadi" w:hAnsi="Abadi" w:cstheme="minorHAnsi"/>
          <w:bCs/>
          <w:sz w:val="20"/>
          <w:szCs w:val="20"/>
          <w:lang w:val="es-ES_tradnl"/>
        </w:rPr>
        <w:t>libramientos para pagos son Aprobados por parte de la Contraloría General de la República.</w:t>
      </w:r>
    </w:p>
    <w:p w14:paraId="05AE0543" w14:textId="1E88D2AF" w:rsidR="00AA74EB" w:rsidRPr="00C80F8E" w:rsidRDefault="00530985" w:rsidP="006E7254">
      <w:pPr>
        <w:jc w:val="both"/>
        <w:rPr>
          <w:rFonts w:ascii="Abadi" w:hAnsi="Abadi" w:cstheme="minorHAnsi"/>
          <w:bCs/>
          <w:sz w:val="20"/>
          <w:szCs w:val="20"/>
          <w:lang w:val="es-ES_tradnl"/>
        </w:rPr>
      </w:pPr>
      <w:r w:rsidRPr="00C80F8E">
        <w:rPr>
          <w:rFonts w:ascii="Abadi" w:hAnsi="Abadi" w:cstheme="minorHAnsi"/>
          <w:bCs/>
          <w:sz w:val="20"/>
          <w:szCs w:val="20"/>
          <w:lang w:val="es-ES_tradnl"/>
        </w:rPr>
        <w:t>Los ingresos d</w:t>
      </w:r>
      <w:r w:rsidR="005F23B0" w:rsidRPr="00C80F8E">
        <w:rPr>
          <w:rFonts w:ascii="Abadi" w:hAnsi="Abadi" w:cstheme="minorHAnsi"/>
          <w:bCs/>
          <w:sz w:val="20"/>
          <w:szCs w:val="20"/>
          <w:lang w:val="es-ES_tradnl"/>
        </w:rPr>
        <w:t xml:space="preserve">e </w:t>
      </w:r>
      <w:r w:rsidR="000F7D83" w:rsidRPr="00C80F8E">
        <w:rPr>
          <w:rFonts w:ascii="Abadi" w:hAnsi="Abadi" w:cstheme="minorHAnsi"/>
          <w:bCs/>
          <w:sz w:val="20"/>
          <w:szCs w:val="20"/>
          <w:lang w:val="es-ES_tradnl"/>
        </w:rPr>
        <w:t>la Superintendencia</w:t>
      </w:r>
      <w:r w:rsidRPr="00C80F8E">
        <w:rPr>
          <w:rFonts w:ascii="Abadi" w:hAnsi="Abadi" w:cstheme="minorHAnsi"/>
          <w:bCs/>
          <w:sz w:val="20"/>
          <w:szCs w:val="20"/>
          <w:lang w:val="es-ES_tradnl"/>
        </w:rPr>
        <w:t xml:space="preserve"> son presupuestarios y con</w:t>
      </w:r>
      <w:r w:rsidR="00BB226D" w:rsidRPr="00C80F8E">
        <w:rPr>
          <w:rFonts w:ascii="Abadi" w:hAnsi="Abadi" w:cstheme="minorHAnsi"/>
          <w:bCs/>
          <w:sz w:val="20"/>
          <w:szCs w:val="20"/>
          <w:lang w:val="es-ES_tradnl"/>
        </w:rPr>
        <w:t>table de efectivo siguiendo una clasificación de pago por funciones</w:t>
      </w:r>
      <w:r w:rsidR="008C25DD" w:rsidRPr="00C80F8E">
        <w:rPr>
          <w:rFonts w:ascii="Abadi" w:hAnsi="Abadi" w:cstheme="minorHAnsi"/>
          <w:bCs/>
          <w:sz w:val="20"/>
          <w:szCs w:val="20"/>
          <w:lang w:val="es-ES_tradnl"/>
        </w:rPr>
        <w:t>.  El presupuesto aprobado cubre el periodo fiscal que va desde el 1ero.</w:t>
      </w:r>
      <w:r w:rsidR="0061288B" w:rsidRPr="00C80F8E">
        <w:rPr>
          <w:rFonts w:ascii="Abadi" w:hAnsi="Abadi" w:cstheme="minorHAnsi"/>
          <w:bCs/>
          <w:sz w:val="20"/>
          <w:szCs w:val="20"/>
          <w:lang w:val="es-ES_tradnl"/>
        </w:rPr>
        <w:t xml:space="preserve"> de enero hasta el 31 de </w:t>
      </w:r>
      <w:r w:rsidR="00E614BA" w:rsidRPr="00C80F8E">
        <w:rPr>
          <w:rFonts w:ascii="Abadi" w:hAnsi="Abadi" w:cstheme="minorHAnsi"/>
          <w:bCs/>
          <w:sz w:val="20"/>
          <w:szCs w:val="20"/>
          <w:lang w:val="es-ES_tradnl"/>
        </w:rPr>
        <w:t>diciembre</w:t>
      </w:r>
      <w:r w:rsidR="0061288B" w:rsidRPr="00C80F8E">
        <w:rPr>
          <w:rFonts w:ascii="Abadi" w:hAnsi="Abadi" w:cstheme="minorHAnsi"/>
          <w:bCs/>
          <w:sz w:val="20"/>
          <w:szCs w:val="20"/>
          <w:lang w:val="es-ES_tradnl"/>
        </w:rPr>
        <w:t xml:space="preserve"> del </w:t>
      </w:r>
      <w:r w:rsidR="00EA10FC" w:rsidRPr="00C80F8E">
        <w:rPr>
          <w:rFonts w:ascii="Abadi" w:hAnsi="Abadi" w:cstheme="minorHAnsi"/>
          <w:bCs/>
          <w:sz w:val="20"/>
          <w:szCs w:val="20"/>
          <w:lang w:val="es-ES_tradnl"/>
        </w:rPr>
        <w:t>202</w:t>
      </w:r>
      <w:r w:rsidR="00331986" w:rsidRPr="00C80F8E">
        <w:rPr>
          <w:rFonts w:ascii="Abadi" w:hAnsi="Abadi" w:cstheme="minorHAnsi"/>
          <w:bCs/>
          <w:sz w:val="20"/>
          <w:szCs w:val="20"/>
          <w:lang w:val="es-ES_tradnl"/>
        </w:rPr>
        <w:t>5</w:t>
      </w:r>
      <w:r w:rsidR="00A55684" w:rsidRPr="00C80F8E">
        <w:rPr>
          <w:rFonts w:ascii="Abadi" w:hAnsi="Abadi" w:cstheme="minorHAnsi"/>
          <w:bCs/>
          <w:sz w:val="20"/>
          <w:szCs w:val="20"/>
          <w:lang w:val="es-ES_tradnl"/>
        </w:rPr>
        <w:t xml:space="preserve"> y </w:t>
      </w:r>
      <w:r w:rsidR="004567A7" w:rsidRPr="00C80F8E">
        <w:rPr>
          <w:rFonts w:ascii="Abadi" w:hAnsi="Abadi" w:cstheme="minorHAnsi"/>
          <w:bCs/>
          <w:sz w:val="20"/>
          <w:szCs w:val="20"/>
          <w:lang w:val="es-ES_tradnl"/>
        </w:rPr>
        <w:t>202</w:t>
      </w:r>
      <w:r w:rsidR="00331986" w:rsidRPr="00C80F8E">
        <w:rPr>
          <w:rFonts w:ascii="Abadi" w:hAnsi="Abadi" w:cstheme="minorHAnsi"/>
          <w:bCs/>
          <w:sz w:val="20"/>
          <w:szCs w:val="20"/>
          <w:lang w:val="es-ES_tradnl"/>
        </w:rPr>
        <w:t>4</w:t>
      </w:r>
      <w:r w:rsidR="00A55684" w:rsidRPr="00C80F8E">
        <w:rPr>
          <w:rFonts w:ascii="Abadi" w:hAnsi="Abadi" w:cstheme="minorHAnsi"/>
          <w:bCs/>
          <w:sz w:val="20"/>
          <w:szCs w:val="20"/>
          <w:lang w:val="es-ES_tradnl"/>
        </w:rPr>
        <w:t>.</w:t>
      </w:r>
      <w:bookmarkStart w:id="41" w:name="_Toc155686864"/>
      <w:bookmarkStart w:id="42" w:name="_Toc191191233"/>
      <w:bookmarkStart w:id="43" w:name="_Toc196626061"/>
      <w:bookmarkStart w:id="44" w:name="_Toc207181386"/>
    </w:p>
    <w:p w14:paraId="000CA1C7" w14:textId="77777777" w:rsidR="00AA74EB" w:rsidRPr="00C80F8E" w:rsidRDefault="008808B4" w:rsidP="00AA74EB">
      <w:pPr>
        <w:pStyle w:val="Ttulo3"/>
        <w:spacing w:line="360" w:lineRule="auto"/>
        <w:ind w:right="252"/>
        <w:jc w:val="both"/>
        <w:rPr>
          <w:rFonts w:ascii="Abadi" w:hAnsi="Abadi" w:cstheme="minorHAnsi"/>
          <w:b/>
          <w:color w:val="000000"/>
          <w:sz w:val="20"/>
          <w:szCs w:val="20"/>
          <w:lang w:val="es-ES_tradnl"/>
        </w:rPr>
      </w:pPr>
      <w:bookmarkStart w:id="45" w:name="_Toc208202808"/>
      <w:r w:rsidRPr="00C80F8E">
        <w:rPr>
          <w:rFonts w:ascii="Abadi" w:hAnsi="Abadi" w:cstheme="minorHAnsi"/>
          <w:b/>
          <w:bCs/>
          <w:color w:val="auto"/>
          <w:sz w:val="20"/>
          <w:szCs w:val="20"/>
          <w:lang w:val="es-ES_tradnl"/>
        </w:rPr>
        <w:t>6.12</w:t>
      </w:r>
      <w:r w:rsidRPr="00C80F8E">
        <w:rPr>
          <w:rFonts w:ascii="Abadi" w:hAnsi="Abadi" w:cstheme="minorHAnsi"/>
          <w:b/>
          <w:bCs/>
          <w:sz w:val="20"/>
          <w:szCs w:val="20"/>
          <w:lang w:val="es-ES_tradnl"/>
        </w:rPr>
        <w:tab/>
      </w:r>
      <w:r w:rsidR="00AA74EB" w:rsidRPr="00C80F8E">
        <w:rPr>
          <w:rFonts w:ascii="Abadi" w:hAnsi="Abadi" w:cstheme="minorHAnsi"/>
          <w:b/>
          <w:color w:val="000000"/>
          <w:sz w:val="20"/>
          <w:szCs w:val="20"/>
          <w:lang w:val="es-ES_tradnl"/>
        </w:rPr>
        <w:t>Ganancias y Pérdidas en Cambio y Saldos en Moneda Extranjera</w:t>
      </w:r>
      <w:bookmarkEnd w:id="41"/>
      <w:bookmarkEnd w:id="42"/>
      <w:bookmarkEnd w:id="43"/>
      <w:bookmarkEnd w:id="44"/>
      <w:bookmarkEnd w:id="45"/>
    </w:p>
    <w:p w14:paraId="7FA6F8E0" w14:textId="77777777" w:rsidR="003525F3" w:rsidRPr="00C80F8E" w:rsidRDefault="00AA74EB" w:rsidP="001E35D9">
      <w:pPr>
        <w:jc w:val="both"/>
        <w:rPr>
          <w:rFonts w:ascii="Abadi" w:hAnsi="Abadi" w:cstheme="minorHAnsi"/>
          <w:sz w:val="20"/>
          <w:szCs w:val="20"/>
          <w:lang w:val="es-ES_tradnl"/>
        </w:rPr>
      </w:pPr>
      <w:r w:rsidRPr="00C80F8E">
        <w:rPr>
          <w:rFonts w:ascii="Abadi" w:hAnsi="Abadi" w:cstheme="minorHAnsi"/>
          <w:sz w:val="20"/>
          <w:szCs w:val="20"/>
          <w:lang w:val="es-ES_tradnl"/>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14:paraId="43A6A250" w14:textId="77777777" w:rsidR="001F5ABC" w:rsidRPr="00C80F8E" w:rsidRDefault="008808B4" w:rsidP="001E35D9">
      <w:pPr>
        <w:jc w:val="both"/>
        <w:rPr>
          <w:rFonts w:ascii="Abadi" w:hAnsi="Abadi" w:cstheme="minorHAnsi"/>
          <w:b/>
          <w:sz w:val="20"/>
          <w:szCs w:val="20"/>
          <w:lang w:val="es-ES_tradnl"/>
        </w:rPr>
      </w:pPr>
      <w:r w:rsidRPr="00C80F8E">
        <w:rPr>
          <w:rFonts w:ascii="Abadi" w:hAnsi="Abadi" w:cstheme="minorHAnsi"/>
          <w:b/>
          <w:bCs/>
          <w:sz w:val="20"/>
          <w:szCs w:val="20"/>
          <w:lang w:val="es-ES_tradnl"/>
        </w:rPr>
        <w:t>6.13</w:t>
      </w:r>
      <w:r w:rsidRPr="00C80F8E">
        <w:rPr>
          <w:rFonts w:ascii="Abadi" w:hAnsi="Abadi" w:cstheme="minorHAnsi"/>
          <w:b/>
          <w:bCs/>
          <w:sz w:val="20"/>
          <w:szCs w:val="20"/>
          <w:lang w:val="es-ES_tradnl"/>
        </w:rPr>
        <w:tab/>
      </w:r>
      <w:r w:rsidR="001F5ABC" w:rsidRPr="00C80F8E">
        <w:rPr>
          <w:rFonts w:ascii="Abadi" w:hAnsi="Abadi" w:cstheme="minorHAnsi"/>
          <w:b/>
          <w:sz w:val="20"/>
          <w:szCs w:val="20"/>
          <w:lang w:val="es-ES_tradnl"/>
        </w:rPr>
        <w:t xml:space="preserve">Impuesto sobre la renta </w:t>
      </w:r>
    </w:p>
    <w:p w14:paraId="23569DE7" w14:textId="4A7DCB18" w:rsidR="00B34FEA" w:rsidRPr="00C80F8E" w:rsidRDefault="005B7D2A" w:rsidP="001E35D9">
      <w:pPr>
        <w:jc w:val="both"/>
        <w:rPr>
          <w:rFonts w:ascii="Abadi" w:hAnsi="Abadi" w:cstheme="minorHAnsi"/>
          <w:sz w:val="20"/>
          <w:szCs w:val="20"/>
          <w:lang w:val="es-ES_tradnl"/>
        </w:rPr>
      </w:pPr>
      <w:r w:rsidRPr="00C80F8E">
        <w:rPr>
          <w:rFonts w:ascii="Abadi" w:hAnsi="Abadi" w:cstheme="minorHAnsi"/>
          <w:sz w:val="20"/>
          <w:szCs w:val="20"/>
          <w:lang w:val="es-ES_tradnl"/>
        </w:rPr>
        <w:t>Somos</w:t>
      </w:r>
      <w:r w:rsidR="001F5ABC" w:rsidRPr="00C80F8E">
        <w:rPr>
          <w:rFonts w:ascii="Abadi" w:hAnsi="Abadi" w:cstheme="minorHAnsi"/>
          <w:sz w:val="20"/>
          <w:szCs w:val="20"/>
          <w:lang w:val="es-ES_tradnl"/>
        </w:rPr>
        <w:t xml:space="preserve"> una entidad gubernamental sin fines de lucro</w:t>
      </w:r>
      <w:r w:rsidR="008E2DA9" w:rsidRPr="00C80F8E">
        <w:rPr>
          <w:rFonts w:ascii="Abadi" w:hAnsi="Abadi" w:cstheme="minorHAnsi"/>
          <w:sz w:val="20"/>
          <w:szCs w:val="20"/>
          <w:lang w:val="es-ES_tradnl"/>
        </w:rPr>
        <w:t>,</w:t>
      </w:r>
      <w:r w:rsidR="001F5ABC" w:rsidRPr="00C80F8E">
        <w:rPr>
          <w:rFonts w:ascii="Abadi" w:hAnsi="Abadi" w:cstheme="minorHAnsi"/>
          <w:sz w:val="20"/>
          <w:szCs w:val="20"/>
          <w:lang w:val="es-ES_tradnl"/>
        </w:rPr>
        <w:t xml:space="preserve"> está exenta de pagar impuesto sobre la renta</w:t>
      </w:r>
      <w:r w:rsidR="00A02E43" w:rsidRPr="00C80F8E">
        <w:rPr>
          <w:rFonts w:ascii="Abadi" w:hAnsi="Abadi" w:cstheme="minorHAnsi"/>
          <w:sz w:val="20"/>
          <w:szCs w:val="20"/>
          <w:lang w:val="es-ES_tradnl"/>
        </w:rPr>
        <w:t xml:space="preserve"> sobre beneficios establecidos en la ley No. 11-92</w:t>
      </w:r>
      <w:r w:rsidR="003E06D8" w:rsidRPr="00C80F8E">
        <w:rPr>
          <w:rFonts w:ascii="Abadi" w:hAnsi="Abadi" w:cstheme="minorHAnsi"/>
          <w:sz w:val="20"/>
          <w:szCs w:val="20"/>
          <w:lang w:val="es-ES_tradnl"/>
        </w:rPr>
        <w:t xml:space="preserve">, </w:t>
      </w:r>
      <w:r w:rsidR="00675CFD" w:rsidRPr="00C80F8E">
        <w:rPr>
          <w:rFonts w:ascii="Abadi" w:hAnsi="Abadi" w:cstheme="minorHAnsi"/>
          <w:sz w:val="20"/>
          <w:szCs w:val="20"/>
          <w:lang w:val="es-ES_tradnl"/>
        </w:rPr>
        <w:t>Código</w:t>
      </w:r>
      <w:r w:rsidR="003E06D8" w:rsidRPr="00C80F8E">
        <w:rPr>
          <w:rFonts w:ascii="Abadi" w:hAnsi="Abadi" w:cstheme="minorHAnsi"/>
          <w:sz w:val="20"/>
          <w:szCs w:val="20"/>
          <w:lang w:val="es-ES_tradnl"/>
        </w:rPr>
        <w:t xml:space="preserve"> Tributario de la </w:t>
      </w:r>
      <w:r w:rsidR="00675CFD" w:rsidRPr="00C80F8E">
        <w:rPr>
          <w:rFonts w:ascii="Abadi" w:hAnsi="Abadi" w:cstheme="minorHAnsi"/>
          <w:sz w:val="20"/>
          <w:szCs w:val="20"/>
          <w:lang w:val="es-ES_tradnl"/>
        </w:rPr>
        <w:t>República</w:t>
      </w:r>
      <w:r w:rsidR="003E06D8" w:rsidRPr="00C80F8E">
        <w:rPr>
          <w:rFonts w:ascii="Abadi" w:hAnsi="Abadi" w:cstheme="minorHAnsi"/>
          <w:sz w:val="20"/>
          <w:szCs w:val="20"/>
          <w:lang w:val="es-ES_tradnl"/>
        </w:rPr>
        <w:t xml:space="preserve"> Dominicana</w:t>
      </w:r>
      <w:r w:rsidR="003525F3" w:rsidRPr="00C80F8E">
        <w:rPr>
          <w:rFonts w:ascii="Abadi" w:hAnsi="Abadi" w:cstheme="minorHAnsi"/>
          <w:sz w:val="20"/>
          <w:szCs w:val="20"/>
          <w:lang w:val="es-ES_tradnl"/>
        </w:rPr>
        <w:t>.</w:t>
      </w:r>
      <w:r w:rsidR="003E06D8" w:rsidRPr="00C80F8E">
        <w:rPr>
          <w:rFonts w:ascii="Abadi" w:hAnsi="Abadi" w:cstheme="minorHAnsi"/>
          <w:sz w:val="20"/>
          <w:szCs w:val="20"/>
          <w:lang w:val="es-ES_tradnl"/>
        </w:rPr>
        <w:t xml:space="preserve">  Sin embargo, debe fungir como agente de retenciones y percepciones </w:t>
      </w:r>
      <w:r w:rsidR="005D2C38" w:rsidRPr="00C80F8E">
        <w:rPr>
          <w:rFonts w:ascii="Abadi" w:hAnsi="Abadi" w:cstheme="minorHAnsi"/>
          <w:sz w:val="20"/>
          <w:szCs w:val="20"/>
          <w:lang w:val="es-ES_tradnl"/>
        </w:rPr>
        <w:t>de impuestos sobre los salarios pagados a los empleados que se encuentren</w:t>
      </w:r>
      <w:r w:rsidR="00FA13B1" w:rsidRPr="00C80F8E">
        <w:rPr>
          <w:rFonts w:ascii="Abadi" w:hAnsi="Abadi" w:cstheme="minorHAnsi"/>
          <w:sz w:val="20"/>
          <w:szCs w:val="20"/>
          <w:lang w:val="es-ES_tradnl"/>
        </w:rPr>
        <w:t xml:space="preserve"> dentro de los niveles establecidos por dicha ley, así como aquellos bienes y servicios gravables prestados al </w:t>
      </w:r>
      <w:r w:rsidR="00970279" w:rsidRPr="00C80F8E">
        <w:rPr>
          <w:rFonts w:ascii="Abadi" w:hAnsi="Abadi" w:cstheme="minorHAnsi"/>
          <w:sz w:val="20"/>
          <w:szCs w:val="20"/>
          <w:lang w:val="es-ES_tradnl"/>
        </w:rPr>
        <w:t>Superintendencia</w:t>
      </w:r>
      <w:r w:rsidR="00FA13B1" w:rsidRPr="00C80F8E">
        <w:rPr>
          <w:rFonts w:ascii="Abadi" w:hAnsi="Abadi" w:cstheme="minorHAnsi"/>
          <w:sz w:val="20"/>
          <w:szCs w:val="20"/>
          <w:lang w:val="es-ES_tradnl"/>
        </w:rPr>
        <w:t xml:space="preserve"> por personas físicas y jurídicas.</w:t>
      </w:r>
    </w:p>
    <w:p w14:paraId="329F61A1" w14:textId="77777777" w:rsidR="00B743E2" w:rsidRPr="00C80F8E" w:rsidRDefault="00B743E2" w:rsidP="001E35D9">
      <w:pPr>
        <w:jc w:val="both"/>
        <w:rPr>
          <w:rFonts w:ascii="Abadi" w:hAnsi="Abadi" w:cstheme="minorHAnsi"/>
          <w:sz w:val="20"/>
          <w:szCs w:val="20"/>
          <w:lang w:val="es-ES_tradnl"/>
        </w:rPr>
      </w:pPr>
    </w:p>
    <w:p w14:paraId="3C928CA1" w14:textId="77777777" w:rsidR="00B743E2" w:rsidRPr="00C80F8E" w:rsidRDefault="00B743E2" w:rsidP="001E35D9">
      <w:pPr>
        <w:jc w:val="both"/>
        <w:rPr>
          <w:rFonts w:ascii="Abadi" w:hAnsi="Abadi" w:cstheme="minorHAnsi"/>
          <w:sz w:val="20"/>
          <w:szCs w:val="20"/>
          <w:lang w:val="es-ES_tradnl"/>
        </w:rPr>
      </w:pPr>
    </w:p>
    <w:p w14:paraId="28161171" w14:textId="77777777" w:rsidR="00B743E2" w:rsidRPr="00C80F8E" w:rsidRDefault="00B743E2" w:rsidP="001E35D9">
      <w:pPr>
        <w:jc w:val="both"/>
        <w:rPr>
          <w:rFonts w:ascii="Abadi" w:hAnsi="Abadi" w:cstheme="minorHAnsi"/>
          <w:sz w:val="20"/>
          <w:szCs w:val="20"/>
          <w:lang w:val="es-ES_tradnl"/>
        </w:rPr>
      </w:pPr>
    </w:p>
    <w:p w14:paraId="4FBCC999" w14:textId="77777777" w:rsidR="00B743E2" w:rsidRPr="00C80F8E" w:rsidRDefault="00B743E2" w:rsidP="001E35D9">
      <w:pPr>
        <w:jc w:val="both"/>
        <w:rPr>
          <w:rFonts w:ascii="Abadi" w:hAnsi="Abadi" w:cstheme="minorHAnsi"/>
          <w:sz w:val="20"/>
          <w:szCs w:val="20"/>
          <w:lang w:val="es-ES_tradnl"/>
        </w:rPr>
      </w:pPr>
    </w:p>
    <w:p w14:paraId="3CD733C8" w14:textId="77777777" w:rsidR="00B743E2" w:rsidRPr="00C80F8E" w:rsidRDefault="00B743E2" w:rsidP="001E35D9">
      <w:pPr>
        <w:jc w:val="both"/>
        <w:rPr>
          <w:rFonts w:ascii="Abadi" w:hAnsi="Abadi" w:cstheme="minorHAnsi"/>
          <w:sz w:val="20"/>
          <w:szCs w:val="20"/>
          <w:lang w:val="es-ES_tradnl"/>
        </w:rPr>
      </w:pPr>
    </w:p>
    <w:p w14:paraId="067B3A31" w14:textId="77777777" w:rsidR="00B743E2" w:rsidRPr="00C80F8E" w:rsidRDefault="00B743E2" w:rsidP="001E35D9">
      <w:pPr>
        <w:jc w:val="both"/>
        <w:rPr>
          <w:rFonts w:ascii="Abadi" w:hAnsi="Abadi" w:cstheme="minorHAnsi"/>
          <w:sz w:val="20"/>
          <w:szCs w:val="20"/>
          <w:lang w:val="es-ES_tradnl"/>
        </w:rPr>
      </w:pPr>
    </w:p>
    <w:p w14:paraId="441DA13D" w14:textId="77777777" w:rsidR="00B743E2" w:rsidRPr="00C80F8E" w:rsidRDefault="00B743E2" w:rsidP="001E35D9">
      <w:pPr>
        <w:jc w:val="both"/>
        <w:rPr>
          <w:rFonts w:ascii="Abadi" w:hAnsi="Abadi" w:cstheme="minorHAnsi"/>
          <w:sz w:val="20"/>
          <w:szCs w:val="20"/>
          <w:lang w:val="es-ES_tradnl"/>
        </w:rPr>
      </w:pPr>
    </w:p>
    <w:p w14:paraId="2E3513D0" w14:textId="77777777" w:rsidR="00B743E2" w:rsidRPr="00C80F8E" w:rsidRDefault="00B743E2" w:rsidP="001E35D9">
      <w:pPr>
        <w:jc w:val="both"/>
        <w:rPr>
          <w:rFonts w:ascii="Abadi" w:hAnsi="Abadi" w:cstheme="minorHAnsi"/>
          <w:sz w:val="20"/>
          <w:szCs w:val="20"/>
          <w:lang w:val="es-ES_tradnl"/>
        </w:rPr>
      </w:pPr>
    </w:p>
    <w:p w14:paraId="25E44498" w14:textId="77777777" w:rsidR="00B743E2" w:rsidRPr="00C80F8E" w:rsidRDefault="00B743E2" w:rsidP="001E35D9">
      <w:pPr>
        <w:jc w:val="both"/>
        <w:rPr>
          <w:rFonts w:ascii="Abadi" w:hAnsi="Abadi" w:cstheme="minorHAnsi"/>
          <w:sz w:val="20"/>
          <w:szCs w:val="20"/>
          <w:lang w:val="es-ES_tradnl"/>
        </w:rPr>
      </w:pPr>
    </w:p>
    <w:p w14:paraId="21B0BEE4" w14:textId="77777777" w:rsidR="003E1A0E" w:rsidRPr="00C80F8E" w:rsidRDefault="00497916" w:rsidP="00A7606E">
      <w:pPr>
        <w:pStyle w:val="Prrafodelista"/>
        <w:numPr>
          <w:ilvl w:val="0"/>
          <w:numId w:val="1"/>
        </w:numPr>
        <w:ind w:left="426"/>
        <w:jc w:val="both"/>
        <w:rPr>
          <w:rFonts w:ascii="Abadi" w:hAnsi="Abadi" w:cstheme="minorHAnsi"/>
          <w:b/>
          <w:bCs/>
          <w:sz w:val="20"/>
          <w:szCs w:val="20"/>
          <w:lang w:val="es-ES_tradnl"/>
        </w:rPr>
      </w:pPr>
      <w:r w:rsidRPr="00C80F8E">
        <w:rPr>
          <w:rFonts w:ascii="Abadi" w:hAnsi="Abadi" w:cstheme="minorHAnsi"/>
          <w:b/>
          <w:bCs/>
          <w:sz w:val="20"/>
          <w:szCs w:val="20"/>
          <w:lang w:val="es-ES_tradnl"/>
        </w:rPr>
        <w:lastRenderedPageBreak/>
        <w:t>Efectivo y Equivalente de Efectivo</w:t>
      </w:r>
      <w:r w:rsidR="00F02607" w:rsidRPr="00C80F8E">
        <w:rPr>
          <w:rFonts w:ascii="Abadi" w:hAnsi="Abadi" w:cstheme="minorHAnsi"/>
          <w:b/>
          <w:bCs/>
          <w:sz w:val="20"/>
          <w:szCs w:val="20"/>
          <w:lang w:val="es-ES_tradnl"/>
        </w:rPr>
        <w:t>:</w:t>
      </w:r>
    </w:p>
    <w:p w14:paraId="7810875A" w14:textId="3479F24A" w:rsidR="004C7A41" w:rsidRPr="00C80F8E" w:rsidRDefault="00F02607" w:rsidP="00F02607">
      <w:pPr>
        <w:ind w:left="66"/>
        <w:jc w:val="both"/>
        <w:rPr>
          <w:rFonts w:ascii="Abadi" w:hAnsi="Abadi" w:cstheme="minorHAnsi"/>
          <w:sz w:val="20"/>
          <w:szCs w:val="20"/>
          <w:lang w:val="es-ES_tradnl"/>
        </w:rPr>
      </w:pPr>
      <w:r w:rsidRPr="00C80F8E">
        <w:rPr>
          <w:rFonts w:ascii="Abadi" w:hAnsi="Abadi" w:cstheme="minorHAnsi"/>
          <w:sz w:val="20"/>
          <w:szCs w:val="20"/>
          <w:lang w:val="es-ES_tradnl"/>
        </w:rPr>
        <w:t xml:space="preserve">La </w:t>
      </w:r>
      <w:r w:rsidR="00675CFD" w:rsidRPr="00C80F8E">
        <w:rPr>
          <w:rFonts w:ascii="Abadi" w:hAnsi="Abadi" w:cstheme="minorHAnsi"/>
          <w:sz w:val="20"/>
          <w:szCs w:val="20"/>
          <w:lang w:val="es-ES_tradnl"/>
        </w:rPr>
        <w:t>moneda</w:t>
      </w:r>
      <w:r w:rsidRPr="00C80F8E">
        <w:rPr>
          <w:rFonts w:ascii="Abadi" w:hAnsi="Abadi" w:cstheme="minorHAnsi"/>
          <w:sz w:val="20"/>
          <w:szCs w:val="20"/>
          <w:lang w:val="es-ES_tradnl"/>
        </w:rPr>
        <w:t xml:space="preserve"> de curso legal es el peso Dominicano (</w:t>
      </w:r>
      <w:r w:rsidR="000D5497" w:rsidRPr="00C80F8E">
        <w:rPr>
          <w:rFonts w:ascii="Abadi" w:hAnsi="Abadi" w:cstheme="minorHAnsi"/>
          <w:sz w:val="20"/>
          <w:szCs w:val="20"/>
          <w:lang w:val="es-ES_tradnl"/>
        </w:rPr>
        <w:t>RD$/DOP$$</w:t>
      </w:r>
      <w:r w:rsidR="006636AD" w:rsidRPr="00C80F8E">
        <w:rPr>
          <w:rFonts w:ascii="Abadi" w:hAnsi="Abadi" w:cstheme="minorHAnsi"/>
          <w:sz w:val="20"/>
          <w:szCs w:val="20"/>
          <w:lang w:val="es-ES_tradnl"/>
        </w:rPr>
        <w:t>) y se expresa a su valor nominal.  Dicho efectivo en Caja y Banco los conforman los balances conci</w:t>
      </w:r>
      <w:r w:rsidR="00C5279F" w:rsidRPr="00C80F8E">
        <w:rPr>
          <w:rFonts w:ascii="Abadi" w:hAnsi="Abadi" w:cstheme="minorHAnsi"/>
          <w:sz w:val="20"/>
          <w:szCs w:val="20"/>
          <w:lang w:val="es-ES_tradnl"/>
        </w:rPr>
        <w:t>liados de las cuentas bancarias d</w:t>
      </w:r>
      <w:r w:rsidR="00BA7505" w:rsidRPr="00C80F8E">
        <w:rPr>
          <w:rFonts w:ascii="Abadi" w:hAnsi="Abadi" w:cstheme="minorHAnsi"/>
          <w:sz w:val="20"/>
          <w:szCs w:val="20"/>
          <w:lang w:val="es-ES_tradnl"/>
        </w:rPr>
        <w:t xml:space="preserve">e </w:t>
      </w:r>
      <w:r w:rsidR="000F7D83" w:rsidRPr="00C80F8E">
        <w:rPr>
          <w:rFonts w:ascii="Abadi" w:hAnsi="Abadi" w:cstheme="minorHAnsi"/>
          <w:sz w:val="20"/>
          <w:szCs w:val="20"/>
          <w:lang w:val="es-ES_tradnl"/>
        </w:rPr>
        <w:t>la Superintendencia</w:t>
      </w:r>
      <w:r w:rsidR="00C5279F" w:rsidRPr="00C80F8E">
        <w:rPr>
          <w:rFonts w:ascii="Abadi" w:hAnsi="Abadi" w:cstheme="minorHAnsi"/>
          <w:sz w:val="20"/>
          <w:szCs w:val="20"/>
          <w:lang w:val="es-ES_tradnl"/>
        </w:rPr>
        <w:t>, en el Banco de</w:t>
      </w:r>
      <w:r w:rsidR="0057586B" w:rsidRPr="00C80F8E">
        <w:rPr>
          <w:rFonts w:ascii="Abadi" w:hAnsi="Abadi" w:cstheme="minorHAnsi"/>
          <w:sz w:val="20"/>
          <w:szCs w:val="20"/>
          <w:lang w:val="es-ES_tradnl"/>
        </w:rPr>
        <w:t xml:space="preserve"> reservas</w:t>
      </w:r>
      <w:r w:rsidR="00F26B6A" w:rsidRPr="00C80F8E">
        <w:rPr>
          <w:rFonts w:ascii="Abadi" w:hAnsi="Abadi" w:cstheme="minorHAnsi"/>
          <w:sz w:val="20"/>
          <w:szCs w:val="20"/>
          <w:lang w:val="es-ES_tradnl"/>
        </w:rPr>
        <w:t>.</w:t>
      </w:r>
      <w:r w:rsidR="000A7017" w:rsidRPr="00C80F8E">
        <w:rPr>
          <w:rFonts w:ascii="Abadi" w:hAnsi="Abadi" w:cstheme="minorHAnsi"/>
          <w:sz w:val="20"/>
          <w:szCs w:val="20"/>
          <w:lang w:val="es-ES_tradnl"/>
        </w:rPr>
        <w:t xml:space="preserve">  </w:t>
      </w:r>
      <w:r w:rsidR="009F4B8B" w:rsidRPr="00C80F8E">
        <w:rPr>
          <w:rFonts w:ascii="Abadi" w:hAnsi="Abadi" w:cstheme="minorHAnsi"/>
          <w:sz w:val="20"/>
          <w:szCs w:val="20"/>
          <w:lang w:val="es-ES_tradnl"/>
        </w:rPr>
        <w:t>E</w:t>
      </w:r>
      <w:r w:rsidR="000A7017" w:rsidRPr="00C80F8E">
        <w:rPr>
          <w:rFonts w:ascii="Abadi" w:hAnsi="Abadi" w:cstheme="minorHAnsi"/>
          <w:sz w:val="20"/>
          <w:szCs w:val="20"/>
          <w:lang w:val="es-ES_tradnl"/>
        </w:rPr>
        <w:t>l efectivo dispo</w:t>
      </w:r>
      <w:r w:rsidR="007E0C01" w:rsidRPr="00C80F8E">
        <w:rPr>
          <w:rFonts w:ascii="Abadi" w:hAnsi="Abadi" w:cstheme="minorHAnsi"/>
          <w:sz w:val="20"/>
          <w:szCs w:val="20"/>
          <w:lang w:val="es-ES_tradnl"/>
        </w:rPr>
        <w:t>nible en cuentas bancarias y el fondo de</w:t>
      </w:r>
      <w:r w:rsidR="00BE2C6C" w:rsidRPr="00C80F8E">
        <w:rPr>
          <w:rFonts w:ascii="Abadi" w:hAnsi="Abadi" w:cstheme="minorHAnsi"/>
          <w:sz w:val="20"/>
          <w:szCs w:val="20"/>
          <w:lang w:val="es-ES_tradnl"/>
        </w:rPr>
        <w:t xml:space="preserve"> gastos</w:t>
      </w:r>
      <w:r w:rsidR="007E0C01" w:rsidRPr="00C80F8E">
        <w:rPr>
          <w:rFonts w:ascii="Abadi" w:hAnsi="Abadi" w:cstheme="minorHAnsi"/>
          <w:sz w:val="20"/>
          <w:szCs w:val="20"/>
          <w:lang w:val="es-ES_tradnl"/>
        </w:rPr>
        <w:t xml:space="preserve"> menores (cajas chicas)</w:t>
      </w:r>
      <w:r w:rsidR="004C7A41" w:rsidRPr="00C80F8E">
        <w:rPr>
          <w:rFonts w:ascii="Abadi" w:hAnsi="Abadi" w:cstheme="minorHAnsi"/>
          <w:sz w:val="20"/>
          <w:szCs w:val="20"/>
          <w:lang w:val="es-ES_tradnl"/>
        </w:rPr>
        <w:t>.</w:t>
      </w:r>
    </w:p>
    <w:p w14:paraId="1497E3B5" w14:textId="510BA433" w:rsidR="00F02607" w:rsidRPr="00C80F8E" w:rsidRDefault="00617611" w:rsidP="00F02607">
      <w:pPr>
        <w:ind w:left="66"/>
        <w:jc w:val="both"/>
        <w:rPr>
          <w:rFonts w:ascii="Abadi" w:hAnsi="Abadi" w:cstheme="minorHAnsi"/>
          <w:sz w:val="20"/>
          <w:szCs w:val="20"/>
          <w:lang w:val="es-ES_tradnl"/>
        </w:rPr>
      </w:pPr>
      <w:r w:rsidRPr="00C80F8E">
        <w:rPr>
          <w:rFonts w:ascii="Abadi" w:hAnsi="Abadi" w:cstheme="minorHAnsi"/>
          <w:sz w:val="20"/>
          <w:szCs w:val="20"/>
          <w:lang w:val="es-ES_tradnl"/>
        </w:rPr>
        <w:t xml:space="preserve">Al comparar los saldos de las cuentas de disponibilidades al </w:t>
      </w:r>
      <w:r w:rsidR="007129A5">
        <w:rPr>
          <w:rFonts w:ascii="Abadi" w:hAnsi="Abadi" w:cstheme="minorHAnsi"/>
          <w:sz w:val="20"/>
          <w:szCs w:val="20"/>
          <w:lang w:val="es-ES_tradnl"/>
        </w:rPr>
        <w:t>30 de junio</w:t>
      </w:r>
      <w:r w:rsidRPr="00C80F8E">
        <w:rPr>
          <w:rFonts w:ascii="Abadi" w:hAnsi="Abadi" w:cstheme="minorHAnsi"/>
          <w:sz w:val="20"/>
          <w:szCs w:val="20"/>
          <w:lang w:val="es-ES_tradnl"/>
        </w:rPr>
        <w:t xml:space="preserve"> de 2025 con los registrados al </w:t>
      </w:r>
      <w:r w:rsidR="00CA0167">
        <w:rPr>
          <w:rFonts w:ascii="Abadi" w:hAnsi="Abadi" w:cstheme="minorHAnsi"/>
          <w:sz w:val="20"/>
          <w:szCs w:val="20"/>
          <w:lang w:val="es-ES_tradnl"/>
        </w:rPr>
        <w:t>30 de junio</w:t>
      </w:r>
      <w:r w:rsidRPr="00C80F8E">
        <w:rPr>
          <w:rFonts w:ascii="Abadi" w:hAnsi="Abadi" w:cstheme="minorHAnsi"/>
          <w:sz w:val="20"/>
          <w:szCs w:val="20"/>
          <w:lang w:val="es-ES_tradnl"/>
        </w:rPr>
        <w:t xml:space="preserve"> de 2024, se observa un </w:t>
      </w:r>
      <w:r w:rsidRPr="00C80F8E">
        <w:rPr>
          <w:rFonts w:ascii="Abadi" w:hAnsi="Abadi" w:cstheme="minorHAnsi"/>
          <w:b/>
          <w:bCs/>
          <w:sz w:val="20"/>
          <w:szCs w:val="20"/>
          <w:lang w:val="es-ES_tradnl"/>
        </w:rPr>
        <w:t>incremento absoluto de RD$15,655,231.39</w:t>
      </w:r>
      <w:r w:rsidRPr="00C80F8E">
        <w:rPr>
          <w:rFonts w:ascii="Abadi" w:hAnsi="Abadi" w:cstheme="minorHAnsi"/>
          <w:sz w:val="20"/>
          <w:szCs w:val="20"/>
          <w:lang w:val="es-ES_tradnl"/>
        </w:rPr>
        <w:t xml:space="preserve">, lo que representa una </w:t>
      </w:r>
      <w:r w:rsidRPr="00C80F8E">
        <w:rPr>
          <w:rFonts w:ascii="Abadi" w:hAnsi="Abadi" w:cstheme="minorHAnsi"/>
          <w:b/>
          <w:bCs/>
          <w:sz w:val="20"/>
          <w:szCs w:val="20"/>
          <w:lang w:val="es-ES_tradnl"/>
        </w:rPr>
        <w:t>variación relativa del 116.77%</w:t>
      </w:r>
      <w:r w:rsidRPr="00C80F8E">
        <w:rPr>
          <w:rFonts w:ascii="Abadi" w:hAnsi="Abadi" w:cstheme="minorHAnsi"/>
          <w:sz w:val="20"/>
          <w:szCs w:val="20"/>
          <w:lang w:val="es-ES_tradnl"/>
        </w:rPr>
        <w:t xml:space="preserve"> con relación al período anterior. Este aumento obedece principalmente a mayores fondos depositados en las cuentas corrientes regular y de operaciones</w:t>
      </w:r>
      <w:r w:rsidR="004C7A41" w:rsidRPr="00C80F8E">
        <w:rPr>
          <w:rFonts w:ascii="Abadi" w:hAnsi="Abadi" w:cstheme="minorHAnsi"/>
          <w:sz w:val="20"/>
          <w:szCs w:val="20"/>
          <w:lang w:val="es-ES_tradnl"/>
        </w:rPr>
        <w:t>,</w:t>
      </w:r>
      <w:r w:rsidRPr="00C80F8E">
        <w:rPr>
          <w:rFonts w:ascii="Abadi" w:hAnsi="Abadi" w:cstheme="minorHAnsi"/>
          <w:sz w:val="20"/>
          <w:szCs w:val="20"/>
          <w:lang w:val="es-ES_tradnl"/>
        </w:rPr>
        <w:t xml:space="preserve"> </w:t>
      </w:r>
      <w:r w:rsidR="00CA22D1" w:rsidRPr="00C80F8E">
        <w:rPr>
          <w:rFonts w:ascii="Abadi" w:hAnsi="Abadi" w:cstheme="minorHAnsi"/>
          <w:sz w:val="20"/>
          <w:szCs w:val="20"/>
          <w:lang w:val="es-ES_tradnl"/>
        </w:rPr>
        <w:t>respectivamente según el siguiente detalle:</w:t>
      </w:r>
    </w:p>
    <w:tbl>
      <w:tblPr>
        <w:tblStyle w:val="Tablaconcuadrcula"/>
        <w:tblW w:w="0" w:type="auto"/>
        <w:tblInd w:w="66" w:type="dxa"/>
        <w:tblLook w:val="04A0" w:firstRow="1" w:lastRow="0" w:firstColumn="1" w:lastColumn="0" w:noHBand="0" w:noVBand="1"/>
      </w:tblPr>
      <w:tblGrid>
        <w:gridCol w:w="4891"/>
        <w:gridCol w:w="2268"/>
        <w:gridCol w:w="2125"/>
      </w:tblGrid>
      <w:tr w:rsidR="00B14050" w:rsidRPr="00C80F8E" w14:paraId="58EA596D" w14:textId="77777777" w:rsidTr="00B743E2">
        <w:tc>
          <w:tcPr>
            <w:tcW w:w="4891" w:type="dxa"/>
            <w:shd w:val="clear" w:color="auto" w:fill="0070C0"/>
          </w:tcPr>
          <w:p w14:paraId="2207570B" w14:textId="77777777" w:rsidR="00B14050" w:rsidRPr="00C80F8E" w:rsidRDefault="003B2572" w:rsidP="00B04650">
            <w:pPr>
              <w:contextualSpacing/>
              <w:jc w:val="center"/>
              <w:rPr>
                <w:rFonts w:ascii="Abadi" w:hAnsi="Abadi" w:cstheme="minorHAnsi"/>
                <w:b/>
                <w:bCs/>
                <w:color w:val="FFFFFF" w:themeColor="background1"/>
                <w:sz w:val="20"/>
                <w:szCs w:val="20"/>
                <w:lang w:val="es-ES_tradnl"/>
              </w:rPr>
            </w:pPr>
            <w:bookmarkStart w:id="46" w:name="_Hlk201850244"/>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0EA314FE" w14:textId="076FB26F" w:rsidR="00B14050" w:rsidRPr="00C80F8E" w:rsidRDefault="00EA10FC" w:rsidP="003B2572">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BC1EEE" w:rsidRPr="00C80F8E">
              <w:rPr>
                <w:rFonts w:ascii="Abadi" w:hAnsi="Abadi" w:cstheme="minorHAnsi"/>
                <w:b/>
                <w:bCs/>
                <w:color w:val="FFFFFF" w:themeColor="background1"/>
                <w:sz w:val="20"/>
                <w:szCs w:val="20"/>
                <w:lang w:val="es-ES_tradnl"/>
              </w:rPr>
              <w:t>5</w:t>
            </w:r>
          </w:p>
        </w:tc>
        <w:tc>
          <w:tcPr>
            <w:tcW w:w="2125" w:type="dxa"/>
            <w:shd w:val="clear" w:color="auto" w:fill="0070C0"/>
          </w:tcPr>
          <w:p w14:paraId="21691F81" w14:textId="693AFC67" w:rsidR="003B2572" w:rsidRPr="00C80F8E" w:rsidRDefault="004567A7" w:rsidP="003B2572">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BC1EEE" w:rsidRPr="00C80F8E">
              <w:rPr>
                <w:rFonts w:ascii="Abadi" w:hAnsi="Abadi" w:cstheme="minorHAnsi"/>
                <w:b/>
                <w:bCs/>
                <w:color w:val="FFFFFF" w:themeColor="background1"/>
                <w:sz w:val="20"/>
                <w:szCs w:val="20"/>
                <w:lang w:val="es-ES_tradnl"/>
              </w:rPr>
              <w:t>4</w:t>
            </w:r>
          </w:p>
        </w:tc>
      </w:tr>
      <w:tr w:rsidR="00C078CE" w:rsidRPr="00C80F8E" w14:paraId="55A5A6A5" w14:textId="77777777" w:rsidTr="00EE0C57">
        <w:tc>
          <w:tcPr>
            <w:tcW w:w="4891" w:type="dxa"/>
          </w:tcPr>
          <w:p w14:paraId="33DC0B31" w14:textId="0A894F3B" w:rsidR="00C078CE" w:rsidRPr="00C80F8E" w:rsidRDefault="001B14D8" w:rsidP="00F02607">
            <w:pPr>
              <w:contextualSpacing/>
              <w:jc w:val="both"/>
              <w:rPr>
                <w:rFonts w:ascii="Abadi" w:hAnsi="Abadi" w:cstheme="minorHAnsi"/>
                <w:sz w:val="20"/>
                <w:szCs w:val="20"/>
                <w:lang w:val="es-ES_tradnl"/>
              </w:rPr>
            </w:pPr>
            <w:r w:rsidRPr="00C80F8E">
              <w:rPr>
                <w:rFonts w:ascii="Abadi" w:hAnsi="Abadi" w:cstheme="minorHAnsi"/>
                <w:sz w:val="20"/>
                <w:szCs w:val="20"/>
                <w:lang w:val="es-ES_tradnl"/>
              </w:rPr>
              <w:t>Caja Chica</w:t>
            </w:r>
          </w:p>
        </w:tc>
        <w:tc>
          <w:tcPr>
            <w:tcW w:w="2268" w:type="dxa"/>
            <w:tcBorders>
              <w:bottom w:val="single" w:sz="4" w:space="0" w:color="auto"/>
            </w:tcBorders>
          </w:tcPr>
          <w:p w14:paraId="1BA61E23" w14:textId="6FB90BF0" w:rsidR="00C078CE" w:rsidRPr="00C80F8E" w:rsidRDefault="00BB0FAD"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50,000.00</w:t>
            </w:r>
          </w:p>
        </w:tc>
        <w:tc>
          <w:tcPr>
            <w:tcW w:w="2125" w:type="dxa"/>
            <w:tcBorders>
              <w:bottom w:val="single" w:sz="4" w:space="0" w:color="auto"/>
            </w:tcBorders>
          </w:tcPr>
          <w:p w14:paraId="4EDED531" w14:textId="3CE44F5B" w:rsidR="00C078CE" w:rsidRPr="00C80F8E" w:rsidRDefault="00191960"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50,000.00</w:t>
            </w:r>
          </w:p>
        </w:tc>
      </w:tr>
      <w:tr w:rsidR="004421FD" w:rsidRPr="00C80F8E" w14:paraId="057ED84F" w14:textId="77777777" w:rsidTr="00EE0C57">
        <w:tc>
          <w:tcPr>
            <w:tcW w:w="4891" w:type="dxa"/>
          </w:tcPr>
          <w:p w14:paraId="09C2368F" w14:textId="4FE64B19" w:rsidR="004421FD" w:rsidRPr="00C80F8E" w:rsidRDefault="00820B8C" w:rsidP="00F02607">
            <w:pPr>
              <w:contextualSpacing/>
              <w:jc w:val="both"/>
              <w:rPr>
                <w:rFonts w:ascii="Abadi" w:hAnsi="Abadi" w:cstheme="minorHAnsi"/>
                <w:color w:val="000000"/>
                <w:sz w:val="20"/>
                <w:szCs w:val="20"/>
                <w:lang w:val="es-ES_tradnl"/>
              </w:rPr>
            </w:pPr>
            <w:r w:rsidRPr="00C80F8E">
              <w:rPr>
                <w:rFonts w:ascii="Abadi" w:hAnsi="Abadi" w:cstheme="minorHAnsi"/>
                <w:color w:val="000000"/>
                <w:sz w:val="20"/>
                <w:szCs w:val="20"/>
                <w:lang w:val="es-ES_tradnl"/>
              </w:rPr>
              <w:t>Cuenta Corriente Regular</w:t>
            </w:r>
            <w:r w:rsidR="009E5C43" w:rsidRPr="00C80F8E">
              <w:rPr>
                <w:rFonts w:ascii="Abadi" w:hAnsi="Abadi" w:cstheme="minorHAnsi"/>
                <w:color w:val="000000"/>
                <w:sz w:val="20"/>
                <w:szCs w:val="20"/>
                <w:lang w:val="es-ES_tradnl"/>
              </w:rPr>
              <w:t xml:space="preserve"> </w:t>
            </w:r>
            <w:r w:rsidR="009E5C43" w:rsidRPr="00C80F8E">
              <w:rPr>
                <w:rFonts w:ascii="Abadi" w:hAnsi="Abadi" w:cstheme="minorHAnsi"/>
                <w:sz w:val="20"/>
                <w:szCs w:val="20"/>
                <w:lang w:val="es-ES_tradnl"/>
              </w:rPr>
              <w:t>(</w:t>
            </w:r>
            <w:proofErr w:type="spellStart"/>
            <w:r w:rsidR="009E5C43" w:rsidRPr="00C80F8E">
              <w:rPr>
                <w:rFonts w:ascii="Abadi" w:hAnsi="Abadi" w:cstheme="minorHAnsi"/>
                <w:sz w:val="20"/>
                <w:szCs w:val="20"/>
                <w:lang w:val="es-ES_tradnl"/>
              </w:rPr>
              <w:t>Cta.No</w:t>
            </w:r>
            <w:proofErr w:type="spellEnd"/>
            <w:r w:rsidR="009E5C43" w:rsidRPr="00C80F8E">
              <w:rPr>
                <w:rFonts w:ascii="Abadi" w:hAnsi="Abadi" w:cstheme="minorHAnsi"/>
                <w:sz w:val="20"/>
                <w:szCs w:val="20"/>
                <w:lang w:val="es-ES_tradnl"/>
              </w:rPr>
              <w:t xml:space="preserve">. </w:t>
            </w:r>
            <w:r w:rsidR="007E0767" w:rsidRPr="00C80F8E">
              <w:rPr>
                <w:rFonts w:ascii="Abadi" w:hAnsi="Abadi" w:cstheme="minorHAnsi"/>
                <w:sz w:val="20"/>
                <w:szCs w:val="20"/>
                <w:lang w:val="es-ES_tradnl"/>
              </w:rPr>
              <w:t>010-246135-0</w:t>
            </w:r>
            <w:r w:rsidR="009E5C43" w:rsidRPr="00C80F8E">
              <w:rPr>
                <w:rFonts w:ascii="Abadi" w:hAnsi="Abadi" w:cstheme="minorHAnsi"/>
                <w:sz w:val="20"/>
                <w:szCs w:val="20"/>
                <w:lang w:val="es-ES_tradnl"/>
              </w:rPr>
              <w:t>)</w:t>
            </w:r>
          </w:p>
        </w:tc>
        <w:tc>
          <w:tcPr>
            <w:tcW w:w="2268" w:type="dxa"/>
            <w:tcBorders>
              <w:bottom w:val="single" w:sz="4" w:space="0" w:color="auto"/>
            </w:tcBorders>
          </w:tcPr>
          <w:p w14:paraId="7AB3CD49" w14:textId="68CC9C4F" w:rsidR="004421FD" w:rsidRPr="00C80F8E" w:rsidRDefault="00E15282"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24,489,279.92</w:t>
            </w:r>
          </w:p>
        </w:tc>
        <w:tc>
          <w:tcPr>
            <w:tcW w:w="2125" w:type="dxa"/>
            <w:tcBorders>
              <w:bottom w:val="single" w:sz="4" w:space="0" w:color="auto"/>
            </w:tcBorders>
          </w:tcPr>
          <w:p w14:paraId="5ED75258" w14:textId="79334BEE" w:rsidR="004421FD" w:rsidRPr="00C80F8E" w:rsidRDefault="00B7037C"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11,552,287.55</w:t>
            </w:r>
          </w:p>
        </w:tc>
      </w:tr>
      <w:tr w:rsidR="004421FD" w:rsidRPr="00C80F8E" w14:paraId="5420A216" w14:textId="77777777" w:rsidTr="00EE0C57">
        <w:tc>
          <w:tcPr>
            <w:tcW w:w="4891" w:type="dxa"/>
          </w:tcPr>
          <w:p w14:paraId="22E44442" w14:textId="7571707F" w:rsidR="004421FD" w:rsidRPr="00C80F8E" w:rsidRDefault="00D7241C" w:rsidP="003A4481">
            <w:pPr>
              <w:tabs>
                <w:tab w:val="left" w:pos="3064"/>
              </w:tabs>
              <w:contextualSpacing/>
              <w:jc w:val="both"/>
              <w:rPr>
                <w:rFonts w:ascii="Abadi" w:hAnsi="Abadi" w:cstheme="minorHAnsi"/>
                <w:sz w:val="20"/>
                <w:szCs w:val="20"/>
                <w:lang w:val="es-ES_tradnl"/>
              </w:rPr>
            </w:pPr>
            <w:proofErr w:type="spellStart"/>
            <w:r w:rsidRPr="00C80F8E">
              <w:rPr>
                <w:rFonts w:ascii="Abadi" w:hAnsi="Abadi" w:cstheme="minorHAnsi"/>
                <w:sz w:val="20"/>
                <w:szCs w:val="20"/>
                <w:lang w:val="es-ES_tradnl"/>
              </w:rPr>
              <w:t>Ctas</w:t>
            </w:r>
            <w:proofErr w:type="spellEnd"/>
            <w:r w:rsidRPr="00C80F8E">
              <w:rPr>
                <w:rFonts w:ascii="Abadi" w:hAnsi="Abadi" w:cstheme="minorHAnsi"/>
                <w:sz w:val="20"/>
                <w:szCs w:val="20"/>
                <w:lang w:val="es-ES_tradnl"/>
              </w:rPr>
              <w:t xml:space="preserve"> </w:t>
            </w:r>
            <w:proofErr w:type="spellStart"/>
            <w:r w:rsidRPr="00C80F8E">
              <w:rPr>
                <w:rFonts w:ascii="Abadi" w:hAnsi="Abadi" w:cstheme="minorHAnsi"/>
                <w:sz w:val="20"/>
                <w:szCs w:val="20"/>
                <w:lang w:val="es-ES_tradnl"/>
              </w:rPr>
              <w:t>Cte</w:t>
            </w:r>
            <w:proofErr w:type="spellEnd"/>
            <w:r w:rsidRPr="00C80F8E">
              <w:rPr>
                <w:rFonts w:ascii="Abadi" w:hAnsi="Abadi" w:cstheme="minorHAnsi"/>
                <w:sz w:val="20"/>
                <w:szCs w:val="20"/>
                <w:lang w:val="es-ES_tradnl"/>
              </w:rPr>
              <w:t xml:space="preserve"> Operaciones</w:t>
            </w:r>
            <w:r w:rsidR="003A4481" w:rsidRPr="00C80F8E">
              <w:rPr>
                <w:rFonts w:ascii="Abadi" w:hAnsi="Abadi" w:cstheme="minorHAnsi"/>
                <w:sz w:val="20"/>
                <w:szCs w:val="20"/>
                <w:lang w:val="es-ES_tradnl"/>
              </w:rPr>
              <w:t xml:space="preserve"> (</w:t>
            </w:r>
            <w:proofErr w:type="spellStart"/>
            <w:r w:rsidR="00286C76" w:rsidRPr="00C80F8E">
              <w:rPr>
                <w:rFonts w:ascii="Abadi" w:hAnsi="Abadi" w:cstheme="minorHAnsi"/>
                <w:sz w:val="20"/>
                <w:szCs w:val="20"/>
                <w:lang w:val="es-ES_tradnl"/>
              </w:rPr>
              <w:t>Cta.No</w:t>
            </w:r>
            <w:proofErr w:type="spellEnd"/>
            <w:r w:rsidR="00286C76" w:rsidRPr="00C80F8E">
              <w:rPr>
                <w:rFonts w:ascii="Abadi" w:hAnsi="Abadi" w:cstheme="minorHAnsi"/>
                <w:sz w:val="20"/>
                <w:szCs w:val="20"/>
                <w:lang w:val="es-ES_tradnl"/>
              </w:rPr>
              <w:t>. 010-249394-</w:t>
            </w:r>
            <w:r w:rsidR="009E5C43" w:rsidRPr="00C80F8E">
              <w:rPr>
                <w:rFonts w:ascii="Abadi" w:hAnsi="Abadi" w:cstheme="minorHAnsi"/>
                <w:sz w:val="20"/>
                <w:szCs w:val="20"/>
                <w:lang w:val="es-ES_tradnl"/>
              </w:rPr>
              <w:t>4)</w:t>
            </w:r>
          </w:p>
        </w:tc>
        <w:tc>
          <w:tcPr>
            <w:tcW w:w="2268" w:type="dxa"/>
            <w:tcBorders>
              <w:bottom w:val="single" w:sz="4" w:space="0" w:color="auto"/>
            </w:tcBorders>
          </w:tcPr>
          <w:p w14:paraId="2A1B5F3C" w14:textId="15C2A10D" w:rsidR="004421FD" w:rsidRPr="00C80F8E" w:rsidRDefault="00E15282"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4,512,291.68</w:t>
            </w:r>
          </w:p>
        </w:tc>
        <w:tc>
          <w:tcPr>
            <w:tcW w:w="2125" w:type="dxa"/>
            <w:tcBorders>
              <w:bottom w:val="single" w:sz="4" w:space="0" w:color="auto"/>
            </w:tcBorders>
          </w:tcPr>
          <w:p w14:paraId="772150AB" w14:textId="099864F2" w:rsidR="004421FD" w:rsidRPr="00C80F8E" w:rsidRDefault="00D704CF"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1,780,977.08</w:t>
            </w:r>
          </w:p>
        </w:tc>
      </w:tr>
      <w:tr w:rsidR="004421FD" w:rsidRPr="00C80F8E" w14:paraId="59CCD538" w14:textId="77777777" w:rsidTr="00EE0C57">
        <w:tc>
          <w:tcPr>
            <w:tcW w:w="4891" w:type="dxa"/>
          </w:tcPr>
          <w:p w14:paraId="1EBEAD97" w14:textId="0FF51EE7" w:rsidR="004421FD" w:rsidRPr="00C80F8E" w:rsidRDefault="006D1448" w:rsidP="00F02607">
            <w:pPr>
              <w:contextualSpacing/>
              <w:jc w:val="both"/>
              <w:rPr>
                <w:rFonts w:ascii="Abadi" w:hAnsi="Abadi" w:cstheme="minorHAnsi"/>
                <w:sz w:val="20"/>
                <w:szCs w:val="20"/>
                <w:lang w:val="es-ES_tradnl"/>
              </w:rPr>
            </w:pPr>
            <w:r w:rsidRPr="00C80F8E">
              <w:rPr>
                <w:rFonts w:ascii="Abadi" w:hAnsi="Abadi" w:cstheme="minorHAnsi"/>
                <w:sz w:val="20"/>
                <w:szCs w:val="20"/>
                <w:lang w:val="es-ES_tradnl"/>
              </w:rPr>
              <w:t>Cuenta Corriente Nomina</w:t>
            </w:r>
            <w:r w:rsidR="00F8373B" w:rsidRPr="00C80F8E">
              <w:rPr>
                <w:rFonts w:ascii="Abadi" w:hAnsi="Abadi" w:cstheme="minorHAnsi"/>
                <w:sz w:val="20"/>
                <w:szCs w:val="20"/>
                <w:lang w:val="es-ES_tradnl"/>
              </w:rPr>
              <w:t xml:space="preserve"> (</w:t>
            </w:r>
            <w:proofErr w:type="spellStart"/>
            <w:r w:rsidR="00F8373B" w:rsidRPr="00C80F8E">
              <w:rPr>
                <w:rFonts w:ascii="Abadi" w:hAnsi="Abadi" w:cstheme="minorHAnsi"/>
                <w:sz w:val="20"/>
                <w:szCs w:val="20"/>
                <w:lang w:val="es-ES_tradnl"/>
              </w:rPr>
              <w:t>Cta.No</w:t>
            </w:r>
            <w:proofErr w:type="spellEnd"/>
            <w:r w:rsidR="00F8373B" w:rsidRPr="00C80F8E">
              <w:rPr>
                <w:rFonts w:ascii="Abadi" w:hAnsi="Abadi" w:cstheme="minorHAnsi"/>
                <w:sz w:val="20"/>
                <w:szCs w:val="20"/>
                <w:lang w:val="es-ES_tradnl"/>
              </w:rPr>
              <w:t xml:space="preserve">. </w:t>
            </w:r>
            <w:r w:rsidR="005D3E37" w:rsidRPr="00C80F8E">
              <w:rPr>
                <w:rFonts w:ascii="Abadi" w:hAnsi="Abadi" w:cstheme="minorHAnsi"/>
                <w:sz w:val="20"/>
                <w:szCs w:val="20"/>
                <w:lang w:val="es-ES_tradnl"/>
              </w:rPr>
              <w:t>010-246963-6</w:t>
            </w:r>
            <w:r w:rsidR="00F8373B" w:rsidRPr="00C80F8E">
              <w:rPr>
                <w:rFonts w:ascii="Abadi" w:hAnsi="Abadi" w:cstheme="minorHAnsi"/>
                <w:sz w:val="20"/>
                <w:szCs w:val="20"/>
                <w:lang w:val="es-ES_tradnl"/>
              </w:rPr>
              <w:t>)</w:t>
            </w:r>
          </w:p>
        </w:tc>
        <w:tc>
          <w:tcPr>
            <w:tcW w:w="2268" w:type="dxa"/>
            <w:tcBorders>
              <w:bottom w:val="single" w:sz="4" w:space="0" w:color="auto"/>
            </w:tcBorders>
          </w:tcPr>
          <w:p w14:paraId="14164BC1" w14:textId="1600549F" w:rsidR="004421FD" w:rsidRPr="00C80F8E" w:rsidRDefault="00D61BCA"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10,081.46</w:t>
            </w:r>
          </w:p>
        </w:tc>
        <w:tc>
          <w:tcPr>
            <w:tcW w:w="2125" w:type="dxa"/>
            <w:tcBorders>
              <w:bottom w:val="single" w:sz="4" w:space="0" w:color="auto"/>
            </w:tcBorders>
          </w:tcPr>
          <w:p w14:paraId="3664F30C" w14:textId="5EBDA9FB" w:rsidR="004421FD" w:rsidRPr="00C80F8E" w:rsidRDefault="00D704CF" w:rsidP="00511A29">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13,699.99</w:t>
            </w:r>
          </w:p>
        </w:tc>
      </w:tr>
      <w:tr w:rsidR="0045564E" w:rsidRPr="00C80F8E" w14:paraId="0FEFB192" w14:textId="77777777" w:rsidTr="0070350C">
        <w:tc>
          <w:tcPr>
            <w:tcW w:w="4891" w:type="dxa"/>
          </w:tcPr>
          <w:p w14:paraId="562129BB" w14:textId="1D75F0E6" w:rsidR="0045564E" w:rsidRPr="00C80F8E" w:rsidRDefault="0045564E" w:rsidP="0045564E">
            <w:pPr>
              <w:contextualSpacing/>
              <w:jc w:val="both"/>
              <w:rPr>
                <w:rFonts w:ascii="Abadi" w:hAnsi="Abadi" w:cstheme="minorHAnsi"/>
                <w:sz w:val="20"/>
                <w:szCs w:val="20"/>
                <w:lang w:val="es-ES_tradnl"/>
              </w:rPr>
            </w:pPr>
            <w:proofErr w:type="spellStart"/>
            <w:r w:rsidRPr="00C80F8E">
              <w:rPr>
                <w:rFonts w:ascii="Abadi" w:hAnsi="Abadi" w:cstheme="minorHAnsi"/>
                <w:sz w:val="20"/>
                <w:szCs w:val="20"/>
                <w:lang w:val="es-ES_tradnl"/>
              </w:rPr>
              <w:t>Cta</w:t>
            </w:r>
            <w:proofErr w:type="spellEnd"/>
            <w:r w:rsidRPr="00C80F8E">
              <w:rPr>
                <w:rFonts w:ascii="Abadi" w:hAnsi="Abadi" w:cstheme="minorHAnsi"/>
                <w:sz w:val="20"/>
                <w:szCs w:val="20"/>
                <w:lang w:val="es-ES_tradnl"/>
              </w:rPr>
              <w:t xml:space="preserve"> </w:t>
            </w:r>
            <w:proofErr w:type="spellStart"/>
            <w:r w:rsidRPr="00C80F8E">
              <w:rPr>
                <w:rFonts w:ascii="Abadi" w:hAnsi="Abadi" w:cstheme="minorHAnsi"/>
                <w:sz w:val="20"/>
                <w:szCs w:val="20"/>
                <w:lang w:val="es-ES_tradnl"/>
              </w:rPr>
              <w:t>Cte</w:t>
            </w:r>
            <w:proofErr w:type="spellEnd"/>
            <w:r w:rsidRPr="00C80F8E">
              <w:rPr>
                <w:rFonts w:ascii="Abadi" w:hAnsi="Abadi" w:cstheme="minorHAnsi"/>
                <w:sz w:val="20"/>
                <w:szCs w:val="20"/>
                <w:lang w:val="es-ES_tradnl"/>
              </w:rPr>
              <w:t xml:space="preserve"> Inversión JMMB</w:t>
            </w:r>
            <w:r w:rsidR="0089076A" w:rsidRPr="00C80F8E">
              <w:rPr>
                <w:rFonts w:ascii="Abadi" w:hAnsi="Abadi" w:cstheme="minorHAnsi"/>
                <w:sz w:val="20"/>
                <w:szCs w:val="20"/>
                <w:lang w:val="es-ES_tradnl"/>
              </w:rPr>
              <w:t xml:space="preserve"> (</w:t>
            </w:r>
            <w:proofErr w:type="spellStart"/>
            <w:r w:rsidR="0089076A" w:rsidRPr="00C80F8E">
              <w:rPr>
                <w:rFonts w:ascii="Abadi" w:hAnsi="Abadi" w:cstheme="minorHAnsi"/>
                <w:sz w:val="20"/>
                <w:szCs w:val="20"/>
                <w:lang w:val="es-ES_tradnl"/>
              </w:rPr>
              <w:t>Cta.No</w:t>
            </w:r>
            <w:proofErr w:type="spellEnd"/>
            <w:r w:rsidR="0089076A" w:rsidRPr="00C80F8E">
              <w:rPr>
                <w:rFonts w:ascii="Abadi" w:hAnsi="Abadi" w:cstheme="minorHAnsi"/>
                <w:sz w:val="20"/>
                <w:szCs w:val="20"/>
                <w:lang w:val="es-ES_tradnl"/>
              </w:rPr>
              <w:t>. 0083-0001-4420)</w:t>
            </w:r>
          </w:p>
        </w:tc>
        <w:tc>
          <w:tcPr>
            <w:tcW w:w="2268" w:type="dxa"/>
            <w:tcBorders>
              <w:bottom w:val="single" w:sz="4" w:space="0" w:color="auto"/>
            </w:tcBorders>
          </w:tcPr>
          <w:p w14:paraId="514ACF0A" w14:textId="0CA9DE4D" w:rsidR="0045564E" w:rsidRPr="00C80F8E" w:rsidRDefault="00D61BCA" w:rsidP="0045564E">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bottom w:val="single" w:sz="4" w:space="0" w:color="auto"/>
            </w:tcBorders>
          </w:tcPr>
          <w:p w14:paraId="3DF58B59" w14:textId="5F81DC7F" w:rsidR="0045564E" w:rsidRPr="00C80F8E" w:rsidRDefault="005B242C" w:rsidP="0045564E">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9,457.05</w:t>
            </w:r>
          </w:p>
        </w:tc>
      </w:tr>
      <w:tr w:rsidR="00E62F30" w:rsidRPr="00C80F8E" w14:paraId="43548C12" w14:textId="77777777" w:rsidTr="006C2D82">
        <w:tc>
          <w:tcPr>
            <w:tcW w:w="4891" w:type="dxa"/>
            <w:shd w:val="clear" w:color="auto" w:fill="FFFFFF" w:themeFill="background1"/>
          </w:tcPr>
          <w:p w14:paraId="27A7EF89" w14:textId="77777777" w:rsidR="00E62F30" w:rsidRPr="00C80F8E" w:rsidRDefault="00E62F30" w:rsidP="00E62F30">
            <w:pPr>
              <w:contextualSpacing/>
              <w:jc w:val="both"/>
              <w:rPr>
                <w:rFonts w:ascii="Abadi" w:hAnsi="Abadi" w:cstheme="minorHAnsi"/>
                <w:b/>
                <w:bCs/>
                <w:sz w:val="20"/>
                <w:szCs w:val="20"/>
                <w:lang w:val="es-ES_tradnl"/>
              </w:rPr>
            </w:pPr>
            <w:bookmarkStart w:id="47" w:name="_Hlk167274222"/>
            <w:r w:rsidRPr="00C80F8E">
              <w:rPr>
                <w:rFonts w:ascii="Abadi" w:hAnsi="Abadi" w:cstheme="minorHAnsi"/>
                <w:b/>
                <w:bCs/>
                <w:sz w:val="20"/>
                <w:szCs w:val="20"/>
                <w:lang w:val="es-ES_tradnl"/>
              </w:rPr>
              <w:t>Total</w:t>
            </w:r>
          </w:p>
        </w:tc>
        <w:tc>
          <w:tcPr>
            <w:tcW w:w="2268" w:type="dxa"/>
            <w:tcBorders>
              <w:top w:val="single" w:sz="12" w:space="0" w:color="auto"/>
              <w:bottom w:val="double" w:sz="4" w:space="0" w:color="auto"/>
            </w:tcBorders>
            <w:shd w:val="clear" w:color="auto" w:fill="FFFFFF" w:themeFill="background1"/>
          </w:tcPr>
          <w:p w14:paraId="709D23AC" w14:textId="127C9E23" w:rsidR="00E62F30" w:rsidRPr="00C80F8E" w:rsidRDefault="008E7230" w:rsidP="00E62F30">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29</w:t>
            </w:r>
            <w:r w:rsidR="006E6D29" w:rsidRPr="00C80F8E">
              <w:rPr>
                <w:rFonts w:ascii="Abadi" w:hAnsi="Abadi" w:cstheme="minorHAnsi"/>
                <w:b/>
                <w:bCs/>
                <w:sz w:val="20"/>
                <w:szCs w:val="20"/>
                <w:lang w:val="es-ES_tradnl"/>
              </w:rPr>
              <w:t>,</w:t>
            </w:r>
            <w:r w:rsidRPr="00C80F8E">
              <w:rPr>
                <w:rFonts w:ascii="Abadi" w:hAnsi="Abadi" w:cstheme="minorHAnsi"/>
                <w:b/>
                <w:bCs/>
                <w:sz w:val="20"/>
                <w:szCs w:val="20"/>
                <w:lang w:val="es-ES_tradnl"/>
              </w:rPr>
              <w:t>061</w:t>
            </w:r>
            <w:r w:rsidR="006E6D29" w:rsidRPr="00C80F8E">
              <w:rPr>
                <w:rFonts w:ascii="Abadi" w:hAnsi="Abadi" w:cstheme="minorHAnsi"/>
                <w:b/>
                <w:bCs/>
                <w:sz w:val="20"/>
                <w:szCs w:val="20"/>
                <w:lang w:val="es-ES_tradnl"/>
              </w:rPr>
              <w:t>,653.06</w:t>
            </w:r>
          </w:p>
        </w:tc>
        <w:tc>
          <w:tcPr>
            <w:tcW w:w="2125" w:type="dxa"/>
            <w:tcBorders>
              <w:top w:val="single" w:sz="12" w:space="0" w:color="auto"/>
              <w:bottom w:val="double" w:sz="4" w:space="0" w:color="auto"/>
            </w:tcBorders>
            <w:shd w:val="clear" w:color="auto" w:fill="FFFFFF" w:themeFill="background1"/>
          </w:tcPr>
          <w:p w14:paraId="576E7392" w14:textId="70573058" w:rsidR="00E62F30" w:rsidRPr="00C80F8E" w:rsidRDefault="00F324A9" w:rsidP="00E62F30">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13,406,421.67</w:t>
            </w:r>
          </w:p>
        </w:tc>
      </w:tr>
      <w:bookmarkEnd w:id="46"/>
      <w:bookmarkEnd w:id="47"/>
    </w:tbl>
    <w:p w14:paraId="781103A0" w14:textId="77777777" w:rsidR="003309CA" w:rsidRPr="00C80F8E" w:rsidRDefault="003309CA" w:rsidP="007C7846">
      <w:pPr>
        <w:spacing w:line="240" w:lineRule="auto"/>
        <w:contextualSpacing/>
        <w:jc w:val="both"/>
        <w:rPr>
          <w:rFonts w:ascii="Abadi" w:hAnsi="Abadi" w:cstheme="minorHAnsi"/>
          <w:b/>
          <w:iCs/>
          <w:sz w:val="16"/>
          <w:szCs w:val="16"/>
          <w:lang w:val="es-ES_tradnl"/>
        </w:rPr>
      </w:pPr>
    </w:p>
    <w:p w14:paraId="27F6EACD" w14:textId="0D1A13FF" w:rsidR="003309CA" w:rsidRPr="00C80F8E" w:rsidRDefault="003309CA" w:rsidP="00A7606E">
      <w:pPr>
        <w:pStyle w:val="Prrafodelista"/>
        <w:numPr>
          <w:ilvl w:val="1"/>
          <w:numId w:val="1"/>
        </w:numPr>
        <w:spacing w:line="360" w:lineRule="auto"/>
        <w:ind w:left="426"/>
        <w:jc w:val="both"/>
        <w:rPr>
          <w:rFonts w:ascii="Abadi" w:hAnsi="Abadi" w:cstheme="minorHAnsi"/>
          <w:b/>
          <w:iCs/>
          <w:sz w:val="20"/>
          <w:szCs w:val="20"/>
          <w:lang w:val="es-ES_tradnl"/>
        </w:rPr>
      </w:pPr>
      <w:r w:rsidRPr="00C80F8E">
        <w:rPr>
          <w:rFonts w:ascii="Abadi" w:hAnsi="Abadi" w:cstheme="minorHAnsi"/>
          <w:b/>
          <w:iCs/>
          <w:sz w:val="20"/>
          <w:szCs w:val="20"/>
          <w:lang w:val="es-ES_tradnl"/>
        </w:rPr>
        <w:t xml:space="preserve">Cuenta Corriente Comisión Clasificadora de Riesgos y Límites de Inversión </w:t>
      </w:r>
      <w:r w:rsidR="000E6207" w:rsidRPr="00C80F8E">
        <w:rPr>
          <w:rFonts w:ascii="Abadi" w:hAnsi="Abadi" w:cstheme="minorHAnsi"/>
          <w:b/>
          <w:iCs/>
          <w:sz w:val="20"/>
          <w:szCs w:val="20"/>
          <w:lang w:val="es-ES_tradnl"/>
        </w:rPr>
        <w:t>(</w:t>
      </w:r>
      <w:proofErr w:type="spellStart"/>
      <w:r w:rsidR="00433BD4" w:rsidRPr="00C80F8E">
        <w:rPr>
          <w:rFonts w:ascii="Abadi" w:hAnsi="Abadi" w:cstheme="minorHAnsi"/>
          <w:b/>
          <w:iCs/>
          <w:sz w:val="20"/>
          <w:szCs w:val="20"/>
          <w:lang w:val="es-ES_tradnl"/>
        </w:rPr>
        <w:t>CCR</w:t>
      </w:r>
      <w:r w:rsidR="0051523A" w:rsidRPr="00C80F8E">
        <w:rPr>
          <w:rFonts w:ascii="Abadi" w:hAnsi="Abadi" w:cstheme="minorHAnsi"/>
          <w:b/>
          <w:iCs/>
          <w:sz w:val="20"/>
          <w:szCs w:val="20"/>
          <w:lang w:val="es-ES_tradnl"/>
        </w:rPr>
        <w:t>yLI</w:t>
      </w:r>
      <w:proofErr w:type="spellEnd"/>
      <w:r w:rsidR="0051523A" w:rsidRPr="00C80F8E">
        <w:rPr>
          <w:rFonts w:ascii="Abadi" w:hAnsi="Abadi" w:cstheme="minorHAnsi"/>
          <w:b/>
          <w:iCs/>
          <w:sz w:val="20"/>
          <w:szCs w:val="20"/>
          <w:lang w:val="es-ES_tradnl"/>
        </w:rPr>
        <w:t>)*</w:t>
      </w:r>
      <w:r w:rsidR="00A95B9B" w:rsidRPr="00C80F8E">
        <w:rPr>
          <w:rFonts w:ascii="Abadi" w:hAnsi="Abadi" w:cstheme="minorHAnsi"/>
          <w:b/>
          <w:iCs/>
          <w:sz w:val="20"/>
          <w:szCs w:val="20"/>
          <w:lang w:val="es-ES_tradnl"/>
        </w:rPr>
        <w:t>*</w:t>
      </w:r>
    </w:p>
    <w:p w14:paraId="6D590550" w14:textId="03B44AC6" w:rsidR="00BA2107" w:rsidRPr="00C80F8E" w:rsidRDefault="00BA2107" w:rsidP="00124E81">
      <w:pPr>
        <w:spacing w:line="276" w:lineRule="auto"/>
        <w:ind w:left="51"/>
        <w:jc w:val="both"/>
        <w:rPr>
          <w:rFonts w:ascii="Abadi" w:hAnsi="Abadi" w:cstheme="minorHAnsi"/>
          <w:bCs/>
          <w:iCs/>
          <w:sz w:val="20"/>
          <w:szCs w:val="20"/>
          <w:lang w:val="es-ES_tradnl"/>
        </w:rPr>
      </w:pPr>
      <w:r w:rsidRPr="00C80F8E">
        <w:rPr>
          <w:rFonts w:ascii="Abadi" w:hAnsi="Abadi" w:cstheme="minorHAnsi"/>
          <w:bCs/>
          <w:iCs/>
          <w:sz w:val="20"/>
          <w:szCs w:val="20"/>
          <w:lang w:val="es-ES_tradnl"/>
        </w:rPr>
        <w:t xml:space="preserve">Al </w:t>
      </w:r>
      <w:r w:rsidR="00BC386D">
        <w:rPr>
          <w:rFonts w:ascii="Abadi" w:hAnsi="Abadi" w:cstheme="minorHAnsi"/>
          <w:bCs/>
          <w:iCs/>
          <w:sz w:val="20"/>
          <w:szCs w:val="20"/>
          <w:lang w:val="es-ES_tradnl"/>
        </w:rPr>
        <w:t>30 de junio de</w:t>
      </w:r>
      <w:r w:rsidRPr="00C80F8E">
        <w:rPr>
          <w:rFonts w:ascii="Abadi" w:hAnsi="Abadi" w:cstheme="minorHAnsi"/>
          <w:bCs/>
          <w:iCs/>
          <w:sz w:val="20"/>
          <w:szCs w:val="20"/>
          <w:lang w:val="es-ES_tradnl"/>
        </w:rPr>
        <w:t xml:space="preserve"> 2025, el saldo de la Cuenta Corriente (</w:t>
      </w:r>
      <w:proofErr w:type="spellStart"/>
      <w:r w:rsidRPr="00C80F8E">
        <w:rPr>
          <w:rFonts w:ascii="Abadi" w:hAnsi="Abadi" w:cstheme="minorHAnsi"/>
          <w:bCs/>
          <w:iCs/>
          <w:sz w:val="20"/>
          <w:szCs w:val="20"/>
          <w:lang w:val="es-ES_tradnl"/>
        </w:rPr>
        <w:t>CCRyLI</w:t>
      </w:r>
      <w:proofErr w:type="spellEnd"/>
      <w:r w:rsidRPr="00C80F8E">
        <w:rPr>
          <w:rFonts w:ascii="Abadi" w:hAnsi="Abadi" w:cstheme="minorHAnsi"/>
          <w:bCs/>
          <w:iCs/>
          <w:sz w:val="20"/>
          <w:szCs w:val="20"/>
          <w:lang w:val="es-ES_tradnl"/>
        </w:rPr>
        <w:t>) ascendió a RD$982,844.94, en comparación con un saldo de RD$691,371.50</w:t>
      </w:r>
      <w:r w:rsidR="003034CB" w:rsidRPr="00C80F8E">
        <w:rPr>
          <w:rFonts w:ascii="Abadi" w:hAnsi="Abadi" w:cstheme="minorHAnsi"/>
          <w:bCs/>
          <w:iCs/>
          <w:sz w:val="20"/>
          <w:szCs w:val="20"/>
          <w:lang w:val="es-ES_tradnl"/>
        </w:rPr>
        <w:t>,</w:t>
      </w:r>
      <w:r w:rsidRPr="00C80F8E">
        <w:rPr>
          <w:rFonts w:ascii="Abadi" w:hAnsi="Abadi" w:cstheme="minorHAnsi"/>
          <w:bCs/>
          <w:iCs/>
          <w:sz w:val="20"/>
          <w:szCs w:val="20"/>
          <w:lang w:val="es-ES_tradnl"/>
        </w:rPr>
        <w:t xml:space="preserve"> registrado al </w:t>
      </w:r>
      <w:r w:rsidR="00BC386D">
        <w:rPr>
          <w:rFonts w:ascii="Abadi" w:hAnsi="Abadi" w:cstheme="minorHAnsi"/>
          <w:bCs/>
          <w:iCs/>
          <w:sz w:val="20"/>
          <w:szCs w:val="20"/>
          <w:lang w:val="es-ES_tradnl"/>
        </w:rPr>
        <w:t>30 de junio</w:t>
      </w:r>
      <w:r w:rsidRPr="00C80F8E">
        <w:rPr>
          <w:rFonts w:ascii="Abadi" w:hAnsi="Abadi" w:cstheme="minorHAnsi"/>
          <w:bCs/>
          <w:iCs/>
          <w:sz w:val="20"/>
          <w:szCs w:val="20"/>
          <w:lang w:val="es-ES_tradnl"/>
        </w:rPr>
        <w:t xml:space="preserve"> de 2024. Esta variación representa un incremento absoluto de RD$291,473.44 y una variación relativa del 42.15%, reflejando un aumento en los recursos disponibles en dicha cuenta para fines específicos de operación.</w:t>
      </w:r>
    </w:p>
    <w:tbl>
      <w:tblPr>
        <w:tblStyle w:val="Tablaconcuadrcula"/>
        <w:tblW w:w="0" w:type="auto"/>
        <w:tblInd w:w="66" w:type="dxa"/>
        <w:tblLook w:val="04A0" w:firstRow="1" w:lastRow="0" w:firstColumn="1" w:lastColumn="0" w:noHBand="0" w:noVBand="1"/>
      </w:tblPr>
      <w:tblGrid>
        <w:gridCol w:w="4891"/>
        <w:gridCol w:w="2268"/>
        <w:gridCol w:w="2125"/>
      </w:tblGrid>
      <w:tr w:rsidR="008926CB" w:rsidRPr="00C80F8E" w14:paraId="5A21580C" w14:textId="77777777" w:rsidTr="00FD7CA2">
        <w:tc>
          <w:tcPr>
            <w:tcW w:w="4891" w:type="dxa"/>
            <w:shd w:val="clear" w:color="auto" w:fill="0070C0"/>
          </w:tcPr>
          <w:p w14:paraId="59627256" w14:textId="77777777" w:rsidR="008926CB" w:rsidRPr="00C80F8E" w:rsidRDefault="008926CB" w:rsidP="00FD7CA2">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iCs/>
                <w:color w:val="FFFFFF" w:themeColor="background1"/>
                <w:sz w:val="20"/>
                <w:szCs w:val="20"/>
                <w:lang w:val="es-ES_tradnl"/>
              </w:rPr>
              <w:t>Descripción</w:t>
            </w:r>
          </w:p>
        </w:tc>
        <w:tc>
          <w:tcPr>
            <w:tcW w:w="2268" w:type="dxa"/>
            <w:shd w:val="clear" w:color="auto" w:fill="0070C0"/>
          </w:tcPr>
          <w:p w14:paraId="30C93F49" w14:textId="77777777" w:rsidR="008926CB" w:rsidRPr="00C80F8E" w:rsidRDefault="008926CB" w:rsidP="00FD7CA2">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tcPr>
          <w:p w14:paraId="338D9888" w14:textId="77777777" w:rsidR="008926CB" w:rsidRPr="00C80F8E" w:rsidRDefault="008926CB" w:rsidP="00FD7CA2">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8926CB" w:rsidRPr="00C80F8E" w14:paraId="34505B30" w14:textId="77777777" w:rsidTr="00FD7CA2">
        <w:tc>
          <w:tcPr>
            <w:tcW w:w="4891" w:type="dxa"/>
          </w:tcPr>
          <w:p w14:paraId="4C3B9881" w14:textId="49CDA456" w:rsidR="008926CB" w:rsidRPr="00C80F8E" w:rsidRDefault="00025584" w:rsidP="00FD7CA2">
            <w:pPr>
              <w:contextualSpacing/>
              <w:jc w:val="both"/>
              <w:rPr>
                <w:rFonts w:ascii="Abadi" w:hAnsi="Abadi" w:cstheme="minorHAnsi"/>
                <w:sz w:val="20"/>
                <w:szCs w:val="20"/>
                <w:lang w:val="es-ES_tradnl"/>
              </w:rPr>
            </w:pPr>
            <w:r w:rsidRPr="00C80F8E">
              <w:rPr>
                <w:rFonts w:ascii="Abadi" w:hAnsi="Abadi" w:cstheme="minorHAnsi"/>
                <w:sz w:val="20"/>
                <w:szCs w:val="20"/>
                <w:lang w:val="es-ES_tradnl"/>
              </w:rPr>
              <w:t>Cuenta Corriente (</w:t>
            </w:r>
            <w:proofErr w:type="spellStart"/>
            <w:r w:rsidRPr="00C80F8E">
              <w:rPr>
                <w:rFonts w:ascii="Abadi" w:hAnsi="Abadi" w:cstheme="minorHAnsi"/>
                <w:sz w:val="20"/>
                <w:szCs w:val="20"/>
                <w:lang w:val="es-ES_tradnl"/>
              </w:rPr>
              <w:t>CCRyLI</w:t>
            </w:r>
            <w:proofErr w:type="spellEnd"/>
            <w:r w:rsidRPr="00C80F8E">
              <w:rPr>
                <w:rFonts w:ascii="Abadi" w:hAnsi="Abadi" w:cstheme="minorHAnsi"/>
                <w:sz w:val="20"/>
                <w:szCs w:val="20"/>
                <w:lang w:val="es-ES_tradnl"/>
              </w:rPr>
              <w:t>)**</w:t>
            </w:r>
          </w:p>
        </w:tc>
        <w:tc>
          <w:tcPr>
            <w:tcW w:w="2268" w:type="dxa"/>
            <w:tcBorders>
              <w:bottom w:val="single" w:sz="4" w:space="0" w:color="auto"/>
            </w:tcBorders>
          </w:tcPr>
          <w:p w14:paraId="25566608" w14:textId="4E4B5AEA" w:rsidR="008926CB" w:rsidRPr="00C80F8E" w:rsidRDefault="00025584" w:rsidP="00FD7CA2">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982,844.94</w:t>
            </w:r>
          </w:p>
        </w:tc>
        <w:tc>
          <w:tcPr>
            <w:tcW w:w="2125" w:type="dxa"/>
            <w:tcBorders>
              <w:bottom w:val="single" w:sz="4" w:space="0" w:color="auto"/>
            </w:tcBorders>
          </w:tcPr>
          <w:p w14:paraId="7E94FA39" w14:textId="4BD281EF" w:rsidR="008926CB" w:rsidRPr="00C80F8E" w:rsidRDefault="00881E3E" w:rsidP="00FD7CA2">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691,371.50</w:t>
            </w:r>
          </w:p>
        </w:tc>
      </w:tr>
      <w:tr w:rsidR="008926CB" w:rsidRPr="00C80F8E" w14:paraId="64E88FA6" w14:textId="77777777" w:rsidTr="00FD7CA2">
        <w:tc>
          <w:tcPr>
            <w:tcW w:w="4891" w:type="dxa"/>
            <w:shd w:val="clear" w:color="auto" w:fill="FFFFFF" w:themeFill="background1"/>
          </w:tcPr>
          <w:p w14:paraId="1E2B11DE" w14:textId="77777777" w:rsidR="008926CB" w:rsidRPr="00C80F8E" w:rsidRDefault="008926CB" w:rsidP="00FD7CA2">
            <w:pPr>
              <w:contextualSpacing/>
              <w:jc w:val="both"/>
              <w:rPr>
                <w:rFonts w:ascii="Abadi" w:hAnsi="Abadi" w:cstheme="minorHAnsi"/>
                <w:b/>
                <w:bCs/>
                <w:sz w:val="20"/>
                <w:szCs w:val="20"/>
                <w:lang w:val="es-ES_tradnl"/>
              </w:rPr>
            </w:pPr>
            <w:r w:rsidRPr="00C80F8E">
              <w:rPr>
                <w:rFonts w:ascii="Abadi" w:hAnsi="Abadi" w:cstheme="minorHAnsi"/>
                <w:b/>
                <w:bCs/>
                <w:sz w:val="20"/>
                <w:szCs w:val="20"/>
                <w:lang w:val="es-ES_tradnl"/>
              </w:rPr>
              <w:t>Total</w:t>
            </w:r>
          </w:p>
        </w:tc>
        <w:tc>
          <w:tcPr>
            <w:tcW w:w="2268" w:type="dxa"/>
            <w:tcBorders>
              <w:top w:val="single" w:sz="12" w:space="0" w:color="auto"/>
              <w:bottom w:val="double" w:sz="4" w:space="0" w:color="auto"/>
            </w:tcBorders>
            <w:shd w:val="clear" w:color="auto" w:fill="FFFFFF" w:themeFill="background1"/>
          </w:tcPr>
          <w:p w14:paraId="75592785" w14:textId="5AC9CB9E" w:rsidR="008926CB" w:rsidRPr="00C80F8E" w:rsidRDefault="00881E3E" w:rsidP="00FD7CA2">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982,844.94</w:t>
            </w:r>
          </w:p>
        </w:tc>
        <w:tc>
          <w:tcPr>
            <w:tcW w:w="2125" w:type="dxa"/>
            <w:tcBorders>
              <w:top w:val="single" w:sz="12" w:space="0" w:color="auto"/>
              <w:bottom w:val="double" w:sz="4" w:space="0" w:color="auto"/>
            </w:tcBorders>
            <w:shd w:val="clear" w:color="auto" w:fill="FFFFFF" w:themeFill="background1"/>
          </w:tcPr>
          <w:p w14:paraId="784E0A28" w14:textId="678C2C7F" w:rsidR="008926CB" w:rsidRPr="00C80F8E" w:rsidRDefault="00C3215C" w:rsidP="00FD7CA2">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691</w:t>
            </w:r>
            <w:r w:rsidR="00154476">
              <w:rPr>
                <w:rFonts w:ascii="Abadi" w:hAnsi="Abadi" w:cstheme="minorHAnsi"/>
                <w:b/>
                <w:bCs/>
                <w:sz w:val="20"/>
                <w:szCs w:val="20"/>
                <w:lang w:val="es-ES_tradnl"/>
              </w:rPr>
              <w:t>,</w:t>
            </w:r>
            <w:r w:rsidRPr="00C80F8E">
              <w:rPr>
                <w:rFonts w:ascii="Abadi" w:hAnsi="Abadi" w:cstheme="minorHAnsi"/>
                <w:b/>
                <w:bCs/>
                <w:sz w:val="20"/>
                <w:szCs w:val="20"/>
                <w:lang w:val="es-ES_tradnl"/>
              </w:rPr>
              <w:t>371.50</w:t>
            </w:r>
          </w:p>
        </w:tc>
      </w:tr>
    </w:tbl>
    <w:p w14:paraId="5BA2BC2E" w14:textId="77777777" w:rsidR="008926CB" w:rsidRPr="00C80F8E" w:rsidRDefault="008926CB" w:rsidP="003F2E14">
      <w:pPr>
        <w:spacing w:line="240" w:lineRule="auto"/>
        <w:contextualSpacing/>
        <w:jc w:val="both"/>
        <w:rPr>
          <w:rFonts w:ascii="Abadi" w:hAnsi="Abadi" w:cstheme="minorHAnsi"/>
          <w:b/>
          <w:iCs/>
          <w:sz w:val="20"/>
          <w:szCs w:val="20"/>
          <w:lang w:val="es-ES_tradnl"/>
        </w:rPr>
      </w:pPr>
    </w:p>
    <w:p w14:paraId="469A956F" w14:textId="36E59C51" w:rsidR="003309CA" w:rsidRPr="00C80F8E" w:rsidRDefault="003309CA" w:rsidP="00334F8B">
      <w:pPr>
        <w:spacing w:line="276" w:lineRule="auto"/>
        <w:jc w:val="both"/>
        <w:rPr>
          <w:rFonts w:ascii="Abadi" w:hAnsi="Abadi" w:cstheme="minorHAnsi"/>
          <w:iCs/>
          <w:sz w:val="20"/>
          <w:szCs w:val="20"/>
          <w:lang w:val="es-ES_tradnl"/>
        </w:rPr>
      </w:pPr>
      <w:r w:rsidRPr="00C80F8E">
        <w:rPr>
          <w:rFonts w:ascii="Abadi" w:hAnsi="Abadi" w:cstheme="minorHAnsi"/>
          <w:iCs/>
          <w:sz w:val="20"/>
          <w:szCs w:val="20"/>
          <w:lang w:val="es-ES_tradnl"/>
        </w:rPr>
        <w:t>Por recomendación de los Auditores de la Cámara de Cuenta de la República Dominicana, esta cuenta fue incluida en los Estados Financieros de la Superintendencia de Pensiones (SIPEN) a partir del 1 de octubre 2018, en vista de que la misma está registrada bajo la person</w:t>
      </w:r>
      <w:r w:rsidR="002C284B" w:rsidRPr="00C80F8E">
        <w:rPr>
          <w:rFonts w:ascii="Abadi" w:hAnsi="Abadi" w:cstheme="minorHAnsi"/>
          <w:iCs/>
          <w:sz w:val="20"/>
          <w:szCs w:val="20"/>
          <w:lang w:val="es-ES_tradnl"/>
        </w:rPr>
        <w:t>e</w:t>
      </w:r>
      <w:r w:rsidRPr="00C80F8E">
        <w:rPr>
          <w:rFonts w:ascii="Abadi" w:hAnsi="Abadi" w:cstheme="minorHAnsi"/>
          <w:iCs/>
          <w:sz w:val="20"/>
          <w:szCs w:val="20"/>
          <w:lang w:val="es-ES_tradnl"/>
        </w:rPr>
        <w:t>ría jurídica de la SIPEN.</w:t>
      </w:r>
    </w:p>
    <w:p w14:paraId="37344F14" w14:textId="3C40D5C4" w:rsidR="003309CA" w:rsidRPr="00C80F8E" w:rsidRDefault="003309CA" w:rsidP="003309CA">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7.2 Cuentas en Moneda Extranjera</w:t>
      </w:r>
    </w:p>
    <w:p w14:paraId="6CCA70D4" w14:textId="51A2AA89" w:rsidR="003309CA" w:rsidRPr="00C80F8E" w:rsidRDefault="008C6C8D" w:rsidP="00334F8B">
      <w:pPr>
        <w:pStyle w:val="Ttulo2"/>
        <w:spacing w:line="276" w:lineRule="auto"/>
        <w:jc w:val="both"/>
        <w:rPr>
          <w:rStyle w:val="CarCar"/>
          <w:rFonts w:ascii="Abadi" w:hAnsi="Abadi" w:cstheme="minorHAnsi"/>
          <w:iCs/>
          <w:sz w:val="20"/>
          <w:szCs w:val="20"/>
          <w:lang w:val="es-ES_tradnl"/>
        </w:rPr>
      </w:pPr>
      <w:r w:rsidRPr="00C80F8E">
        <w:rPr>
          <w:rFonts w:ascii="Abadi" w:hAnsi="Abadi" w:cstheme="minorHAnsi"/>
          <w:b w:val="0"/>
          <w:bCs w:val="0"/>
          <w:iCs/>
          <w:sz w:val="20"/>
          <w:lang w:val="es-ES_tradnl" w:bidi="ar-SA"/>
        </w:rPr>
        <w:t xml:space="preserve">Al </w:t>
      </w:r>
      <w:r w:rsidR="00EE027F">
        <w:rPr>
          <w:rFonts w:ascii="Abadi" w:hAnsi="Abadi" w:cstheme="minorHAnsi"/>
          <w:b w:val="0"/>
          <w:bCs w:val="0"/>
          <w:iCs/>
          <w:sz w:val="20"/>
          <w:lang w:val="es-ES_tradnl" w:bidi="ar-SA"/>
        </w:rPr>
        <w:t>30 de junio</w:t>
      </w:r>
      <w:r w:rsidR="00ED572D">
        <w:rPr>
          <w:rFonts w:ascii="Abadi" w:hAnsi="Abadi" w:cstheme="minorHAnsi"/>
          <w:b w:val="0"/>
          <w:bCs w:val="0"/>
          <w:iCs/>
          <w:sz w:val="20"/>
          <w:lang w:val="es-ES_tradnl" w:bidi="ar-SA"/>
        </w:rPr>
        <w:t xml:space="preserve"> de 2025</w:t>
      </w:r>
      <w:r w:rsidRPr="00C80F8E">
        <w:rPr>
          <w:rFonts w:ascii="Abadi" w:hAnsi="Abadi" w:cstheme="minorHAnsi"/>
          <w:b w:val="0"/>
          <w:bCs w:val="0"/>
          <w:iCs/>
          <w:sz w:val="20"/>
          <w:lang w:val="es-ES_tradnl" w:bidi="ar-SA"/>
        </w:rPr>
        <w:t xml:space="preserve">, los saldos en cuentas denominadas en dólares estadounidenses totalizaron RD$5,221,474.34, en comparación con RD$6,013,011.55 registrados al </w:t>
      </w:r>
      <w:r w:rsidR="00ED572D">
        <w:rPr>
          <w:rFonts w:ascii="Abadi" w:hAnsi="Abadi" w:cstheme="minorHAnsi"/>
          <w:b w:val="0"/>
          <w:bCs w:val="0"/>
          <w:iCs/>
          <w:sz w:val="20"/>
          <w:lang w:val="es-ES_tradnl" w:bidi="ar-SA"/>
        </w:rPr>
        <w:t>30 de junio</w:t>
      </w:r>
      <w:r w:rsidRPr="00C80F8E">
        <w:rPr>
          <w:rFonts w:ascii="Abadi" w:hAnsi="Abadi" w:cstheme="minorHAnsi"/>
          <w:b w:val="0"/>
          <w:bCs w:val="0"/>
          <w:iCs/>
          <w:sz w:val="20"/>
          <w:lang w:val="es-ES_tradnl" w:bidi="ar-SA"/>
        </w:rPr>
        <w:t xml:space="preserve"> 2024, lo que representa una disminución absoluta de RD$791,537.21 y una variación relativa negativa del 13.16%</w:t>
      </w:r>
      <w:r w:rsidR="00A51EE7" w:rsidRPr="00C80F8E">
        <w:rPr>
          <w:rFonts w:ascii="Abadi" w:hAnsi="Abadi" w:cstheme="minorHAnsi"/>
          <w:b w:val="0"/>
          <w:bCs w:val="0"/>
          <w:iCs/>
          <w:sz w:val="20"/>
          <w:lang w:val="es-ES_tradnl" w:bidi="ar-SA"/>
        </w:rPr>
        <w:t xml:space="preserve">, </w:t>
      </w:r>
      <w:r w:rsidR="003309CA" w:rsidRPr="00C80F8E">
        <w:rPr>
          <w:rStyle w:val="CarCar"/>
          <w:rFonts w:ascii="Abadi" w:hAnsi="Abadi" w:cstheme="minorHAnsi"/>
          <w:iCs/>
          <w:sz w:val="20"/>
          <w:szCs w:val="20"/>
          <w:lang w:val="es-ES_tradnl"/>
        </w:rPr>
        <w:t>consisten en:</w:t>
      </w:r>
    </w:p>
    <w:p w14:paraId="16034282" w14:textId="77777777" w:rsidR="00334F8B" w:rsidRPr="00C80F8E" w:rsidRDefault="00334F8B" w:rsidP="00334F8B">
      <w:pPr>
        <w:rPr>
          <w:lang w:val="es-ES_tradnl" w:eastAsia="es-ES"/>
        </w:rPr>
      </w:pPr>
    </w:p>
    <w:tbl>
      <w:tblPr>
        <w:tblStyle w:val="Tablaconcuadrcula"/>
        <w:tblW w:w="0" w:type="auto"/>
        <w:tblInd w:w="66" w:type="dxa"/>
        <w:tblLook w:val="04A0" w:firstRow="1" w:lastRow="0" w:firstColumn="1" w:lastColumn="0" w:noHBand="0" w:noVBand="1"/>
      </w:tblPr>
      <w:tblGrid>
        <w:gridCol w:w="4891"/>
        <w:gridCol w:w="2268"/>
        <w:gridCol w:w="2125"/>
      </w:tblGrid>
      <w:tr w:rsidR="006B70D7" w:rsidRPr="00C80F8E" w14:paraId="274452A2" w14:textId="77777777" w:rsidTr="009B7664">
        <w:tc>
          <w:tcPr>
            <w:tcW w:w="4891" w:type="dxa"/>
            <w:shd w:val="clear" w:color="auto" w:fill="0070C0"/>
          </w:tcPr>
          <w:p w14:paraId="2D6A356F" w14:textId="5DE76A5B" w:rsidR="006B70D7" w:rsidRPr="00C80F8E" w:rsidRDefault="003309CA" w:rsidP="009B7664">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iCs/>
                <w:color w:val="FFFFFF" w:themeColor="background1"/>
                <w:sz w:val="20"/>
                <w:szCs w:val="20"/>
                <w:lang w:val="es-ES_tradnl"/>
              </w:rPr>
              <w:t>Descripción</w:t>
            </w:r>
          </w:p>
        </w:tc>
        <w:tc>
          <w:tcPr>
            <w:tcW w:w="2268" w:type="dxa"/>
            <w:shd w:val="clear" w:color="auto" w:fill="0070C0"/>
          </w:tcPr>
          <w:p w14:paraId="5E909C6B" w14:textId="77777777" w:rsidR="006B70D7" w:rsidRPr="00C80F8E" w:rsidRDefault="006B70D7" w:rsidP="009B7664">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tcPr>
          <w:p w14:paraId="6CCD9E71" w14:textId="77777777" w:rsidR="006B70D7" w:rsidRPr="00C80F8E" w:rsidRDefault="006B70D7" w:rsidP="009B7664">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6B70D7" w:rsidRPr="00C80F8E" w14:paraId="260DB4DB" w14:textId="77777777" w:rsidTr="009B7664">
        <w:tc>
          <w:tcPr>
            <w:tcW w:w="4891" w:type="dxa"/>
          </w:tcPr>
          <w:p w14:paraId="0322D4D1" w14:textId="1744441C" w:rsidR="006B70D7" w:rsidRPr="00C80F8E" w:rsidRDefault="0045510B" w:rsidP="009B7664">
            <w:pPr>
              <w:contextualSpacing/>
              <w:jc w:val="both"/>
              <w:rPr>
                <w:rFonts w:ascii="Abadi" w:hAnsi="Abadi" w:cstheme="minorHAnsi"/>
                <w:sz w:val="20"/>
                <w:szCs w:val="20"/>
                <w:lang w:val="es-ES_tradnl"/>
              </w:rPr>
            </w:pPr>
            <w:r w:rsidRPr="00C80F8E">
              <w:rPr>
                <w:rFonts w:ascii="Abadi" w:hAnsi="Abadi" w:cstheme="minorHAnsi"/>
                <w:sz w:val="20"/>
                <w:szCs w:val="20"/>
                <w:lang w:val="es-ES_tradnl"/>
              </w:rPr>
              <w:t xml:space="preserve">Cuenta de Ahorros en </w:t>
            </w:r>
            <w:r w:rsidR="00300070" w:rsidRPr="00C80F8E">
              <w:rPr>
                <w:rFonts w:ascii="Abadi" w:hAnsi="Abadi" w:cstheme="minorHAnsi"/>
                <w:sz w:val="20"/>
                <w:szCs w:val="20"/>
                <w:lang w:val="es-ES_tradnl"/>
              </w:rPr>
              <w:t>Dólares</w:t>
            </w:r>
            <w:r w:rsidR="00B75C73" w:rsidRPr="00C80F8E">
              <w:rPr>
                <w:rFonts w:ascii="Abadi" w:hAnsi="Abadi" w:cstheme="minorHAnsi"/>
                <w:sz w:val="20"/>
                <w:szCs w:val="20"/>
                <w:lang w:val="es-ES_tradnl"/>
              </w:rPr>
              <w:t xml:space="preserve"> Unidad</w:t>
            </w:r>
          </w:p>
        </w:tc>
        <w:tc>
          <w:tcPr>
            <w:tcW w:w="2268" w:type="dxa"/>
            <w:tcBorders>
              <w:bottom w:val="single" w:sz="4" w:space="0" w:color="auto"/>
            </w:tcBorders>
          </w:tcPr>
          <w:p w14:paraId="6A4AFFBC" w14:textId="3D5864E1" w:rsidR="006B70D7" w:rsidRPr="00C80F8E" w:rsidRDefault="00F86947" w:rsidP="009B7664">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86</w:t>
            </w:r>
            <w:r w:rsidR="00797E3D" w:rsidRPr="00C80F8E">
              <w:rPr>
                <w:rFonts w:ascii="Abadi" w:hAnsi="Abadi" w:cstheme="minorHAnsi"/>
                <w:sz w:val="20"/>
                <w:szCs w:val="20"/>
                <w:lang w:val="es-ES_tradnl"/>
              </w:rPr>
              <w:t>,908.68</w:t>
            </w:r>
          </w:p>
        </w:tc>
        <w:tc>
          <w:tcPr>
            <w:tcW w:w="2125" w:type="dxa"/>
            <w:tcBorders>
              <w:bottom w:val="single" w:sz="4" w:space="0" w:color="auto"/>
            </w:tcBorders>
          </w:tcPr>
          <w:p w14:paraId="5A41B6C6" w14:textId="011BAAED" w:rsidR="006B70D7" w:rsidRPr="00C80F8E" w:rsidRDefault="003A7674" w:rsidP="009B7664">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101,657.00</w:t>
            </w:r>
          </w:p>
        </w:tc>
      </w:tr>
      <w:tr w:rsidR="006B70D7" w:rsidRPr="00C80F8E" w14:paraId="68BDF588" w14:textId="77777777" w:rsidTr="009B7664">
        <w:tc>
          <w:tcPr>
            <w:tcW w:w="4891" w:type="dxa"/>
          </w:tcPr>
          <w:p w14:paraId="76DFF0C0" w14:textId="32985965" w:rsidR="006B70D7" w:rsidRPr="00C80F8E" w:rsidRDefault="00300070" w:rsidP="009B7664">
            <w:pPr>
              <w:contextualSpacing/>
              <w:jc w:val="both"/>
              <w:rPr>
                <w:rFonts w:ascii="Abadi" w:hAnsi="Abadi" w:cstheme="minorHAnsi"/>
                <w:color w:val="000000"/>
                <w:sz w:val="20"/>
                <w:szCs w:val="20"/>
                <w:lang w:val="es-ES_tradnl"/>
              </w:rPr>
            </w:pPr>
            <w:r w:rsidRPr="00C80F8E">
              <w:rPr>
                <w:rFonts w:ascii="Abadi" w:hAnsi="Abadi" w:cstheme="minorHAnsi"/>
                <w:color w:val="000000"/>
                <w:sz w:val="20"/>
                <w:szCs w:val="20"/>
                <w:lang w:val="es-ES_tradnl"/>
              </w:rPr>
              <w:t>Prima Cuenta de Ahorros en Dólares</w:t>
            </w:r>
          </w:p>
        </w:tc>
        <w:tc>
          <w:tcPr>
            <w:tcW w:w="2268" w:type="dxa"/>
            <w:tcBorders>
              <w:bottom w:val="single" w:sz="4" w:space="0" w:color="auto"/>
            </w:tcBorders>
          </w:tcPr>
          <w:p w14:paraId="0823E2A0" w14:textId="4FCCB38A" w:rsidR="006B70D7" w:rsidRPr="00C80F8E" w:rsidRDefault="00797E3D" w:rsidP="009B7664">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5,134,565.66</w:t>
            </w:r>
          </w:p>
        </w:tc>
        <w:tc>
          <w:tcPr>
            <w:tcW w:w="2125" w:type="dxa"/>
            <w:tcBorders>
              <w:bottom w:val="single" w:sz="4" w:space="0" w:color="auto"/>
            </w:tcBorders>
          </w:tcPr>
          <w:p w14:paraId="63B9C4C0" w14:textId="54DCE104" w:rsidR="006B70D7" w:rsidRPr="00C80F8E" w:rsidRDefault="003A7674" w:rsidP="009B7664">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5,911,354.55</w:t>
            </w:r>
          </w:p>
        </w:tc>
      </w:tr>
      <w:tr w:rsidR="006B70D7" w:rsidRPr="00C80F8E" w14:paraId="5B7F8D76" w14:textId="77777777" w:rsidTr="009B7664">
        <w:tc>
          <w:tcPr>
            <w:tcW w:w="4891" w:type="dxa"/>
            <w:shd w:val="clear" w:color="auto" w:fill="FFFFFF" w:themeFill="background1"/>
          </w:tcPr>
          <w:p w14:paraId="090F1D8E" w14:textId="77777777" w:rsidR="006B70D7" w:rsidRPr="00C80F8E" w:rsidRDefault="006B70D7" w:rsidP="009B7664">
            <w:pPr>
              <w:contextualSpacing/>
              <w:jc w:val="both"/>
              <w:rPr>
                <w:rFonts w:ascii="Abadi" w:hAnsi="Abadi" w:cstheme="minorHAnsi"/>
                <w:b/>
                <w:bCs/>
                <w:sz w:val="20"/>
                <w:szCs w:val="20"/>
                <w:lang w:val="es-ES_tradnl"/>
              </w:rPr>
            </w:pPr>
            <w:r w:rsidRPr="00C80F8E">
              <w:rPr>
                <w:rFonts w:ascii="Abadi" w:hAnsi="Abadi" w:cstheme="minorHAnsi"/>
                <w:b/>
                <w:bCs/>
                <w:sz w:val="20"/>
                <w:szCs w:val="20"/>
                <w:lang w:val="es-ES_tradnl"/>
              </w:rPr>
              <w:t>Total</w:t>
            </w:r>
          </w:p>
        </w:tc>
        <w:tc>
          <w:tcPr>
            <w:tcW w:w="2268" w:type="dxa"/>
            <w:tcBorders>
              <w:top w:val="single" w:sz="12" w:space="0" w:color="auto"/>
              <w:bottom w:val="double" w:sz="4" w:space="0" w:color="auto"/>
            </w:tcBorders>
            <w:shd w:val="clear" w:color="auto" w:fill="FFFFFF" w:themeFill="background1"/>
          </w:tcPr>
          <w:p w14:paraId="23ED7BD2" w14:textId="3610E279" w:rsidR="006B70D7" w:rsidRPr="00C80F8E" w:rsidRDefault="005D3B18" w:rsidP="009B7664">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5,221,474.34</w:t>
            </w:r>
          </w:p>
        </w:tc>
        <w:tc>
          <w:tcPr>
            <w:tcW w:w="2125" w:type="dxa"/>
            <w:tcBorders>
              <w:top w:val="single" w:sz="12" w:space="0" w:color="auto"/>
              <w:bottom w:val="double" w:sz="4" w:space="0" w:color="auto"/>
            </w:tcBorders>
            <w:shd w:val="clear" w:color="auto" w:fill="FFFFFF" w:themeFill="background1"/>
          </w:tcPr>
          <w:p w14:paraId="68B3F9B5" w14:textId="4DD05A97" w:rsidR="006B70D7" w:rsidRPr="00C80F8E" w:rsidRDefault="00A90401" w:rsidP="009B7664">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6,013,011.55</w:t>
            </w:r>
          </w:p>
        </w:tc>
      </w:tr>
    </w:tbl>
    <w:p w14:paraId="70D3C766" w14:textId="77777777" w:rsidR="00C02F92" w:rsidRPr="00C80F8E" w:rsidRDefault="00C02F92" w:rsidP="00DB69D9">
      <w:pPr>
        <w:pStyle w:val="Ttulo2"/>
        <w:spacing w:line="360" w:lineRule="auto"/>
        <w:jc w:val="both"/>
        <w:rPr>
          <w:rStyle w:val="CarCar"/>
          <w:rFonts w:ascii="Abadi" w:hAnsi="Abadi" w:cstheme="minorHAnsi"/>
          <w:iCs/>
          <w:sz w:val="20"/>
          <w:szCs w:val="20"/>
          <w:lang w:val="es-ES_tradnl"/>
        </w:rPr>
      </w:pPr>
    </w:p>
    <w:p w14:paraId="3E851306" w14:textId="763EBF76" w:rsidR="00583612" w:rsidRPr="00C80F8E" w:rsidRDefault="007C7846" w:rsidP="007C7846">
      <w:pPr>
        <w:jc w:val="both"/>
        <w:rPr>
          <w:rFonts w:ascii="Abadi" w:eastAsia="Times New Roman" w:hAnsi="Abadi" w:cstheme="minorHAnsi"/>
          <w:iCs/>
          <w:sz w:val="20"/>
          <w:szCs w:val="20"/>
          <w:lang w:val="es-ES_tradnl" w:eastAsia="es-ES"/>
        </w:rPr>
      </w:pPr>
      <w:r w:rsidRPr="00C80F8E">
        <w:rPr>
          <w:rFonts w:ascii="Abadi" w:eastAsia="Times New Roman" w:hAnsi="Abadi" w:cstheme="minorHAnsi"/>
          <w:iCs/>
          <w:sz w:val="20"/>
          <w:szCs w:val="20"/>
          <w:lang w:val="es-ES_tradnl" w:eastAsia="es-ES"/>
        </w:rPr>
        <w:t xml:space="preserve">Cabe señalar que los saldos en moneda extranjera fueron convertidos a moneda nacional utilizando el tipo de cambio comprador oficial publicado al </w:t>
      </w:r>
      <w:r w:rsidR="00DB3FEF">
        <w:rPr>
          <w:rFonts w:ascii="Abadi" w:eastAsia="Times New Roman" w:hAnsi="Abadi" w:cstheme="minorHAnsi"/>
          <w:iCs/>
          <w:sz w:val="20"/>
          <w:szCs w:val="20"/>
          <w:lang w:val="es-ES_tradnl" w:eastAsia="es-ES"/>
        </w:rPr>
        <w:t>corte</w:t>
      </w:r>
      <w:r w:rsidRPr="00C80F8E">
        <w:rPr>
          <w:rFonts w:ascii="Abadi" w:eastAsia="Times New Roman" w:hAnsi="Abadi" w:cstheme="minorHAnsi"/>
          <w:iCs/>
          <w:sz w:val="20"/>
          <w:szCs w:val="20"/>
          <w:lang w:val="es-ES_tradnl" w:eastAsia="es-ES"/>
        </w:rPr>
        <w:t xml:space="preserve"> de cada ejercicio fiscal, siendo de RD$</w:t>
      </w:r>
      <w:r w:rsidR="00685221">
        <w:rPr>
          <w:rFonts w:ascii="Abadi" w:eastAsia="Times New Roman" w:hAnsi="Abadi" w:cstheme="minorHAnsi"/>
          <w:iCs/>
          <w:sz w:val="20"/>
          <w:szCs w:val="20"/>
          <w:lang w:val="es-ES_tradnl" w:eastAsia="es-ES"/>
        </w:rPr>
        <w:t>60.08</w:t>
      </w:r>
      <w:r w:rsidRPr="00C80F8E">
        <w:rPr>
          <w:rFonts w:ascii="Abadi" w:eastAsia="Times New Roman" w:hAnsi="Abadi" w:cstheme="minorHAnsi"/>
          <w:iCs/>
          <w:sz w:val="20"/>
          <w:szCs w:val="20"/>
          <w:lang w:val="es-ES_tradnl" w:eastAsia="es-ES"/>
        </w:rPr>
        <w:t xml:space="preserve"> por cada dólar estadounidense al </w:t>
      </w:r>
      <w:r w:rsidR="008A6BC7">
        <w:rPr>
          <w:rFonts w:ascii="Abadi" w:eastAsia="Times New Roman" w:hAnsi="Abadi" w:cstheme="minorHAnsi"/>
          <w:iCs/>
          <w:sz w:val="20"/>
          <w:szCs w:val="20"/>
          <w:lang w:val="es-ES_tradnl" w:eastAsia="es-ES"/>
        </w:rPr>
        <w:t>30 de junio</w:t>
      </w:r>
      <w:r w:rsidRPr="00C80F8E">
        <w:rPr>
          <w:rFonts w:ascii="Abadi" w:eastAsia="Times New Roman" w:hAnsi="Abadi" w:cstheme="minorHAnsi"/>
          <w:iCs/>
          <w:sz w:val="20"/>
          <w:szCs w:val="20"/>
          <w:lang w:val="es-ES_tradnl" w:eastAsia="es-ES"/>
        </w:rPr>
        <w:t xml:space="preserve"> de 2025 y RD$59.15 al 3</w:t>
      </w:r>
      <w:r w:rsidR="0004335B">
        <w:rPr>
          <w:rFonts w:ascii="Abadi" w:eastAsia="Times New Roman" w:hAnsi="Abadi" w:cstheme="minorHAnsi"/>
          <w:iCs/>
          <w:sz w:val="20"/>
          <w:szCs w:val="20"/>
          <w:lang w:val="es-ES_tradnl" w:eastAsia="es-ES"/>
        </w:rPr>
        <w:t xml:space="preserve">0 </w:t>
      </w:r>
      <w:r w:rsidRPr="00C80F8E">
        <w:rPr>
          <w:rFonts w:ascii="Abadi" w:eastAsia="Times New Roman" w:hAnsi="Abadi" w:cstheme="minorHAnsi"/>
          <w:iCs/>
          <w:sz w:val="20"/>
          <w:szCs w:val="20"/>
          <w:lang w:val="es-ES_tradnl" w:eastAsia="es-ES"/>
        </w:rPr>
        <w:t xml:space="preserve">de </w:t>
      </w:r>
      <w:r w:rsidR="0004335B">
        <w:rPr>
          <w:rFonts w:ascii="Abadi" w:eastAsia="Times New Roman" w:hAnsi="Abadi" w:cstheme="minorHAnsi"/>
          <w:iCs/>
          <w:sz w:val="20"/>
          <w:szCs w:val="20"/>
          <w:lang w:val="es-ES_tradnl" w:eastAsia="es-ES"/>
        </w:rPr>
        <w:t>junio</w:t>
      </w:r>
      <w:r w:rsidRPr="00C80F8E">
        <w:rPr>
          <w:rFonts w:ascii="Abadi" w:eastAsia="Times New Roman" w:hAnsi="Abadi" w:cstheme="minorHAnsi"/>
          <w:iCs/>
          <w:sz w:val="20"/>
          <w:szCs w:val="20"/>
          <w:lang w:val="es-ES_tradnl" w:eastAsia="es-ES"/>
        </w:rPr>
        <w:t xml:space="preserve"> de 2024.</w:t>
      </w:r>
    </w:p>
    <w:p w14:paraId="531E344B" w14:textId="77777777" w:rsidR="007C7846" w:rsidRPr="00C80F8E" w:rsidRDefault="007C7846" w:rsidP="007C7846">
      <w:pPr>
        <w:jc w:val="both"/>
        <w:rPr>
          <w:lang w:val="es-ES_tradnl" w:eastAsia="es-ES"/>
        </w:rPr>
      </w:pPr>
    </w:p>
    <w:p w14:paraId="7EC30E47" w14:textId="66BFCDD8" w:rsidR="0071379C" w:rsidRPr="00C80F8E" w:rsidRDefault="0071379C" w:rsidP="002C22F5">
      <w:pPr>
        <w:spacing w:line="24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lastRenderedPageBreak/>
        <w:t>7.3 Inversiones Financieras a Corto Plazo</w:t>
      </w:r>
      <w:r w:rsidR="00363797" w:rsidRPr="00C80F8E">
        <w:rPr>
          <w:rFonts w:ascii="Abadi" w:hAnsi="Abadi" w:cstheme="minorHAnsi"/>
          <w:b/>
          <w:iCs/>
          <w:sz w:val="20"/>
          <w:szCs w:val="20"/>
          <w:lang w:val="es-ES_tradnl"/>
        </w:rPr>
        <w:t xml:space="preserve"> (Equivalente de Efectivo)</w:t>
      </w:r>
    </w:p>
    <w:p w14:paraId="1C07AAB6" w14:textId="597072B7" w:rsidR="0071379C" w:rsidRPr="00C80F8E" w:rsidRDefault="00B921F1" w:rsidP="00BE6810">
      <w:pPr>
        <w:spacing w:line="240" w:lineRule="auto"/>
        <w:contextualSpacing/>
        <w:jc w:val="both"/>
        <w:rPr>
          <w:rStyle w:val="CarCar"/>
          <w:rFonts w:ascii="Abadi" w:hAnsi="Abadi" w:cstheme="minorHAnsi"/>
          <w:b w:val="0"/>
          <w:iCs/>
          <w:sz w:val="20"/>
          <w:szCs w:val="20"/>
          <w:lang w:val="es-ES_tradnl"/>
        </w:rPr>
      </w:pPr>
      <w:r w:rsidRPr="00C80F8E">
        <w:rPr>
          <w:rFonts w:ascii="Abadi" w:hAnsi="Abadi" w:cstheme="minorHAnsi"/>
          <w:bCs/>
          <w:iCs/>
          <w:sz w:val="20"/>
          <w:szCs w:val="20"/>
          <w:lang w:val="es-ES_tradnl" w:eastAsia="es-ES"/>
        </w:rPr>
        <w:t>Al 3</w:t>
      </w:r>
      <w:r w:rsidR="00C11F04">
        <w:rPr>
          <w:rFonts w:ascii="Abadi" w:hAnsi="Abadi" w:cstheme="minorHAnsi"/>
          <w:bCs/>
          <w:iCs/>
          <w:sz w:val="20"/>
          <w:szCs w:val="20"/>
          <w:lang w:val="es-ES_tradnl" w:eastAsia="es-ES"/>
        </w:rPr>
        <w:t>0</w:t>
      </w:r>
      <w:r w:rsidRPr="00C80F8E">
        <w:rPr>
          <w:rFonts w:ascii="Abadi" w:hAnsi="Abadi" w:cstheme="minorHAnsi"/>
          <w:bCs/>
          <w:iCs/>
          <w:sz w:val="20"/>
          <w:szCs w:val="20"/>
          <w:lang w:val="es-ES_tradnl" w:eastAsia="es-ES"/>
        </w:rPr>
        <w:t xml:space="preserve"> de </w:t>
      </w:r>
      <w:r w:rsidR="00C11F04">
        <w:rPr>
          <w:rFonts w:ascii="Abadi" w:hAnsi="Abadi" w:cstheme="minorHAnsi"/>
          <w:bCs/>
          <w:iCs/>
          <w:sz w:val="20"/>
          <w:szCs w:val="20"/>
          <w:lang w:val="es-ES_tradnl" w:eastAsia="es-ES"/>
        </w:rPr>
        <w:t>junio</w:t>
      </w:r>
      <w:r w:rsidRPr="00C80F8E">
        <w:rPr>
          <w:rFonts w:ascii="Abadi" w:hAnsi="Abadi" w:cstheme="minorHAnsi"/>
          <w:bCs/>
          <w:iCs/>
          <w:sz w:val="20"/>
          <w:szCs w:val="20"/>
          <w:lang w:val="es-ES_tradnl" w:eastAsia="es-ES"/>
        </w:rPr>
        <w:t xml:space="preserve"> de 2025, el saldo total de las inversiones financieras a corto plazo equivalentes de efectivo ascendió a RD$93,821,699.49, lo que representa una disminución absoluta de RD$50,207,974.44 en comparación con el saldo de RD$144,029,673.93 registrado al </w:t>
      </w:r>
      <w:r w:rsidR="0010539B">
        <w:rPr>
          <w:rFonts w:ascii="Abadi" w:hAnsi="Abadi" w:cstheme="minorHAnsi"/>
          <w:bCs/>
          <w:iCs/>
          <w:sz w:val="20"/>
          <w:szCs w:val="20"/>
          <w:lang w:val="es-ES_tradnl" w:eastAsia="es-ES"/>
        </w:rPr>
        <w:t>30 de junio</w:t>
      </w:r>
      <w:r w:rsidRPr="00C80F8E">
        <w:rPr>
          <w:rFonts w:ascii="Abadi" w:hAnsi="Abadi" w:cstheme="minorHAnsi"/>
          <w:bCs/>
          <w:iCs/>
          <w:sz w:val="20"/>
          <w:szCs w:val="20"/>
          <w:lang w:val="es-ES_tradnl" w:eastAsia="es-ES"/>
        </w:rPr>
        <w:t xml:space="preserve"> 2024. Esta variación implica una reducción relativa del 34.86%.</w:t>
      </w:r>
      <w:r w:rsidR="0071379C" w:rsidRPr="00C80F8E">
        <w:rPr>
          <w:rStyle w:val="CarCar"/>
          <w:rFonts w:ascii="Abadi" w:hAnsi="Abadi" w:cstheme="minorHAnsi"/>
          <w:bCs w:val="0"/>
          <w:iCs/>
          <w:sz w:val="20"/>
          <w:szCs w:val="20"/>
          <w:lang w:val="es-ES_tradnl"/>
        </w:rPr>
        <w:t xml:space="preserve"> </w:t>
      </w:r>
      <w:r w:rsidR="0071379C" w:rsidRPr="00C80F8E">
        <w:rPr>
          <w:rStyle w:val="CarCar"/>
          <w:rFonts w:ascii="Abadi" w:hAnsi="Abadi" w:cstheme="minorHAnsi"/>
          <w:b w:val="0"/>
          <w:iCs/>
          <w:sz w:val="20"/>
          <w:szCs w:val="20"/>
          <w:lang w:val="es-ES_tradnl"/>
        </w:rPr>
        <w:t>se componen de:</w:t>
      </w:r>
    </w:p>
    <w:p w14:paraId="1841CE4F" w14:textId="77777777" w:rsidR="00583612" w:rsidRPr="00C80F8E" w:rsidRDefault="00583612" w:rsidP="00BE6810">
      <w:pPr>
        <w:spacing w:line="240" w:lineRule="auto"/>
        <w:contextualSpacing/>
        <w:jc w:val="both"/>
        <w:rPr>
          <w:rStyle w:val="CarCar"/>
          <w:rFonts w:ascii="Abadi" w:hAnsi="Abadi" w:cstheme="minorHAnsi"/>
          <w:b w:val="0"/>
          <w:iCs/>
          <w:sz w:val="20"/>
          <w:szCs w:val="20"/>
          <w:lang w:val="es-ES_tradnl"/>
        </w:rPr>
      </w:pPr>
    </w:p>
    <w:tbl>
      <w:tblPr>
        <w:tblW w:w="9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2268"/>
        <w:gridCol w:w="2148"/>
      </w:tblGrid>
      <w:tr w:rsidR="00E826C6" w:rsidRPr="00C80F8E" w14:paraId="502174CB" w14:textId="77777777" w:rsidTr="00AF5246">
        <w:trPr>
          <w:trHeight w:val="395"/>
        </w:trPr>
        <w:tc>
          <w:tcPr>
            <w:tcW w:w="4864" w:type="dxa"/>
            <w:tcBorders>
              <w:top w:val="single" w:sz="4" w:space="0" w:color="auto"/>
              <w:left w:val="single" w:sz="4" w:space="0" w:color="auto"/>
              <w:bottom w:val="single" w:sz="4" w:space="0" w:color="auto"/>
              <w:right w:val="single" w:sz="4" w:space="0" w:color="auto"/>
            </w:tcBorders>
            <w:shd w:val="solid" w:color="0070C0" w:fill="auto"/>
            <w:noWrap/>
            <w:vAlign w:val="center"/>
            <w:hideMark/>
          </w:tcPr>
          <w:p w14:paraId="0084577E" w14:textId="77777777" w:rsidR="00E826C6" w:rsidRPr="00C80F8E" w:rsidRDefault="00E826C6" w:rsidP="00E661FC">
            <w:pPr>
              <w:spacing w:line="240" w:lineRule="auto"/>
              <w:contextualSpacing/>
              <w:jc w:val="center"/>
              <w:rPr>
                <w:rFonts w:ascii="Abadi" w:hAnsi="Abadi" w:cstheme="minorHAnsi"/>
                <w:b/>
                <w:iCs/>
                <w:color w:val="FFFFFF" w:themeColor="background1"/>
                <w:sz w:val="20"/>
                <w:szCs w:val="20"/>
                <w:lang w:val="es-ES_tradnl"/>
              </w:rPr>
            </w:pPr>
            <w:bookmarkStart w:id="48" w:name="_Hlk201850062"/>
            <w:r w:rsidRPr="00C80F8E">
              <w:rPr>
                <w:rFonts w:ascii="Abadi" w:hAnsi="Abadi" w:cstheme="minorHAnsi"/>
                <w:b/>
                <w:iCs/>
                <w:color w:val="FFFFFF" w:themeColor="background1"/>
                <w:sz w:val="20"/>
                <w:szCs w:val="20"/>
                <w:lang w:val="es-ES_tradnl"/>
              </w:rPr>
              <w:t>Descripción</w:t>
            </w:r>
          </w:p>
        </w:tc>
        <w:tc>
          <w:tcPr>
            <w:tcW w:w="2268" w:type="dxa"/>
            <w:tcBorders>
              <w:top w:val="single" w:sz="4" w:space="0" w:color="auto"/>
              <w:left w:val="single" w:sz="4" w:space="0" w:color="auto"/>
              <w:bottom w:val="single" w:sz="4" w:space="0" w:color="auto"/>
              <w:right w:val="single" w:sz="4" w:space="0" w:color="auto"/>
            </w:tcBorders>
            <w:shd w:val="solid" w:color="0070C0" w:fill="auto"/>
            <w:noWrap/>
            <w:vAlign w:val="center"/>
            <w:hideMark/>
          </w:tcPr>
          <w:p w14:paraId="701D3F3B" w14:textId="6457B08A" w:rsidR="00E826C6" w:rsidRPr="00C80F8E" w:rsidRDefault="00E826C6" w:rsidP="00E661FC">
            <w:pPr>
              <w:spacing w:line="240" w:lineRule="auto"/>
              <w:contextualSpacing/>
              <w:jc w:val="center"/>
              <w:rPr>
                <w:rFonts w:ascii="Abadi" w:hAnsi="Abadi" w:cstheme="minorHAnsi"/>
                <w:b/>
                <w:iCs/>
                <w:color w:val="FFFFFF" w:themeColor="background1"/>
                <w:sz w:val="20"/>
                <w:szCs w:val="20"/>
                <w:lang w:val="es-ES_tradnl"/>
              </w:rPr>
            </w:pPr>
            <w:r w:rsidRPr="00C80F8E">
              <w:rPr>
                <w:rFonts w:ascii="Abadi" w:hAnsi="Abadi" w:cstheme="minorHAnsi"/>
                <w:b/>
                <w:iCs/>
                <w:color w:val="FFFFFF" w:themeColor="background1"/>
                <w:sz w:val="20"/>
                <w:szCs w:val="20"/>
                <w:lang w:val="es-ES_tradnl"/>
              </w:rPr>
              <w:t>202</w:t>
            </w:r>
            <w:r w:rsidR="00182954" w:rsidRPr="00C80F8E">
              <w:rPr>
                <w:rFonts w:ascii="Abadi" w:hAnsi="Abadi" w:cstheme="minorHAnsi"/>
                <w:b/>
                <w:iCs/>
                <w:color w:val="FFFFFF" w:themeColor="background1"/>
                <w:sz w:val="20"/>
                <w:szCs w:val="20"/>
                <w:lang w:val="es-ES_tradnl"/>
              </w:rPr>
              <w:t>5</w:t>
            </w:r>
          </w:p>
        </w:tc>
        <w:tc>
          <w:tcPr>
            <w:tcW w:w="2148" w:type="dxa"/>
            <w:tcBorders>
              <w:top w:val="single" w:sz="4" w:space="0" w:color="auto"/>
              <w:left w:val="single" w:sz="4" w:space="0" w:color="auto"/>
              <w:bottom w:val="single" w:sz="4" w:space="0" w:color="auto"/>
              <w:right w:val="single" w:sz="4" w:space="0" w:color="auto"/>
            </w:tcBorders>
            <w:shd w:val="solid" w:color="0070C0" w:fill="auto"/>
            <w:vAlign w:val="center"/>
          </w:tcPr>
          <w:p w14:paraId="2D0FBF0F" w14:textId="471952C8" w:rsidR="00E826C6" w:rsidRPr="00C80F8E" w:rsidRDefault="00E826C6" w:rsidP="00E661FC">
            <w:pPr>
              <w:spacing w:line="240" w:lineRule="auto"/>
              <w:contextualSpacing/>
              <w:jc w:val="center"/>
              <w:rPr>
                <w:rFonts w:ascii="Abadi" w:hAnsi="Abadi" w:cstheme="minorHAnsi"/>
                <w:b/>
                <w:iCs/>
                <w:color w:val="FFFFFF" w:themeColor="background1"/>
                <w:sz w:val="20"/>
                <w:szCs w:val="20"/>
                <w:lang w:val="es-ES_tradnl"/>
              </w:rPr>
            </w:pPr>
            <w:r w:rsidRPr="00C80F8E">
              <w:rPr>
                <w:rFonts w:ascii="Abadi" w:hAnsi="Abadi" w:cstheme="minorHAnsi"/>
                <w:b/>
                <w:iCs/>
                <w:color w:val="FFFFFF" w:themeColor="background1"/>
                <w:sz w:val="20"/>
                <w:szCs w:val="20"/>
                <w:lang w:val="es-ES_tradnl"/>
              </w:rPr>
              <w:t>202</w:t>
            </w:r>
            <w:r w:rsidR="00182954" w:rsidRPr="00C80F8E">
              <w:rPr>
                <w:rFonts w:ascii="Abadi" w:hAnsi="Abadi" w:cstheme="minorHAnsi"/>
                <w:b/>
                <w:iCs/>
                <w:color w:val="FFFFFF" w:themeColor="background1"/>
                <w:sz w:val="20"/>
                <w:szCs w:val="20"/>
                <w:lang w:val="es-ES_tradnl"/>
              </w:rPr>
              <w:t>4</w:t>
            </w:r>
          </w:p>
        </w:tc>
      </w:tr>
      <w:tr w:rsidR="00CB08FE" w:rsidRPr="00C80F8E" w14:paraId="2DED6FB7" w14:textId="77777777" w:rsidTr="00AF5246">
        <w:trPr>
          <w:trHeight w:val="395"/>
        </w:trPr>
        <w:tc>
          <w:tcPr>
            <w:tcW w:w="4864" w:type="dxa"/>
            <w:noWrap/>
            <w:vAlign w:val="bottom"/>
            <w:hideMark/>
          </w:tcPr>
          <w:p w14:paraId="6C5E5743" w14:textId="41157768" w:rsidR="00CB08FE" w:rsidRPr="00C80F8E" w:rsidRDefault="00CB08FE" w:rsidP="00CB08FE">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Banco de Reservas</w:t>
            </w:r>
          </w:p>
        </w:tc>
        <w:tc>
          <w:tcPr>
            <w:tcW w:w="2268" w:type="dxa"/>
            <w:noWrap/>
            <w:vAlign w:val="bottom"/>
          </w:tcPr>
          <w:p w14:paraId="7A469641" w14:textId="30922B5C" w:rsidR="00CB08FE" w:rsidRPr="00C80F8E" w:rsidRDefault="0063635A" w:rsidP="00CB08FE">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93</w:t>
            </w:r>
            <w:r w:rsidR="00AE358E" w:rsidRPr="00C80F8E">
              <w:rPr>
                <w:rFonts w:ascii="Abadi" w:hAnsi="Abadi" w:cstheme="minorHAnsi"/>
                <w:iCs/>
                <w:color w:val="000000"/>
                <w:sz w:val="20"/>
                <w:szCs w:val="20"/>
                <w:lang w:val="es-ES_tradnl"/>
              </w:rPr>
              <w:t>,</w:t>
            </w:r>
            <w:r w:rsidRPr="00C80F8E">
              <w:rPr>
                <w:rFonts w:ascii="Abadi" w:hAnsi="Abadi" w:cstheme="minorHAnsi"/>
                <w:iCs/>
                <w:color w:val="000000"/>
                <w:sz w:val="20"/>
                <w:szCs w:val="20"/>
                <w:lang w:val="es-ES_tradnl"/>
              </w:rPr>
              <w:t>821</w:t>
            </w:r>
            <w:r w:rsidR="00AE358E" w:rsidRPr="00C80F8E">
              <w:rPr>
                <w:rFonts w:ascii="Abadi" w:hAnsi="Abadi" w:cstheme="minorHAnsi"/>
                <w:iCs/>
                <w:color w:val="000000"/>
                <w:sz w:val="20"/>
                <w:szCs w:val="20"/>
                <w:lang w:val="es-ES_tradnl"/>
              </w:rPr>
              <w:t>,</w:t>
            </w:r>
            <w:r w:rsidRPr="00C80F8E">
              <w:rPr>
                <w:rFonts w:ascii="Abadi" w:hAnsi="Abadi" w:cstheme="minorHAnsi"/>
                <w:iCs/>
                <w:color w:val="000000"/>
                <w:sz w:val="20"/>
                <w:szCs w:val="20"/>
                <w:lang w:val="es-ES_tradnl"/>
              </w:rPr>
              <w:t>699</w:t>
            </w:r>
            <w:r w:rsidR="00AE358E" w:rsidRPr="00C80F8E">
              <w:rPr>
                <w:rFonts w:ascii="Abadi" w:hAnsi="Abadi" w:cstheme="minorHAnsi"/>
                <w:iCs/>
                <w:color w:val="000000"/>
                <w:sz w:val="20"/>
                <w:szCs w:val="20"/>
                <w:lang w:val="es-ES_tradnl"/>
              </w:rPr>
              <w:t>.49</w:t>
            </w:r>
          </w:p>
        </w:tc>
        <w:tc>
          <w:tcPr>
            <w:tcW w:w="2148" w:type="dxa"/>
            <w:vAlign w:val="bottom"/>
          </w:tcPr>
          <w:p w14:paraId="056B3755" w14:textId="77777777" w:rsidR="00CB08FE" w:rsidRPr="00C80F8E" w:rsidRDefault="00CB08FE" w:rsidP="00CB08FE">
            <w:pPr>
              <w:spacing w:line="240" w:lineRule="auto"/>
              <w:contextualSpacing/>
              <w:jc w:val="right"/>
              <w:rPr>
                <w:rFonts w:ascii="Abadi" w:hAnsi="Abadi" w:cstheme="minorHAnsi"/>
                <w:iCs/>
                <w:color w:val="000000"/>
                <w:sz w:val="20"/>
                <w:szCs w:val="20"/>
                <w:lang w:val="es-ES_tradnl"/>
              </w:rPr>
            </w:pPr>
          </w:p>
          <w:p w14:paraId="00FF31A1" w14:textId="18D01D15" w:rsidR="00CB08FE" w:rsidRPr="00C80F8E" w:rsidRDefault="008456D1" w:rsidP="00CB08FE">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90</w:t>
            </w:r>
            <w:r w:rsidR="00936481" w:rsidRPr="00C80F8E">
              <w:rPr>
                <w:rFonts w:ascii="Abadi" w:hAnsi="Abadi" w:cstheme="minorHAnsi"/>
                <w:iCs/>
                <w:color w:val="000000"/>
                <w:sz w:val="20"/>
                <w:szCs w:val="20"/>
                <w:lang w:val="es-ES_tradnl"/>
              </w:rPr>
              <w:t>,097,008.89</w:t>
            </w:r>
          </w:p>
        </w:tc>
      </w:tr>
      <w:tr w:rsidR="00CB08FE" w:rsidRPr="00C80F8E" w14:paraId="24B72EB2" w14:textId="77777777" w:rsidTr="00AF5246">
        <w:trPr>
          <w:trHeight w:val="395"/>
        </w:trPr>
        <w:tc>
          <w:tcPr>
            <w:tcW w:w="4864" w:type="dxa"/>
            <w:noWrap/>
            <w:vAlign w:val="bottom"/>
          </w:tcPr>
          <w:p w14:paraId="08E38877" w14:textId="77777777" w:rsidR="00CB08FE" w:rsidRPr="00C80F8E" w:rsidRDefault="00CB08FE" w:rsidP="00CB08FE">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JMMB Bank, S. A.</w:t>
            </w:r>
          </w:p>
        </w:tc>
        <w:tc>
          <w:tcPr>
            <w:tcW w:w="2268" w:type="dxa"/>
            <w:tcBorders>
              <w:bottom w:val="single" w:sz="12" w:space="0" w:color="auto"/>
            </w:tcBorders>
            <w:noWrap/>
            <w:vAlign w:val="bottom"/>
          </w:tcPr>
          <w:p w14:paraId="1BF6ED90" w14:textId="69EBE325" w:rsidR="00CB08FE" w:rsidRPr="00C80F8E" w:rsidRDefault="00AE358E" w:rsidP="00CB08FE">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c>
          <w:tcPr>
            <w:tcW w:w="2148" w:type="dxa"/>
            <w:tcBorders>
              <w:bottom w:val="single" w:sz="12" w:space="0" w:color="auto"/>
            </w:tcBorders>
            <w:vAlign w:val="bottom"/>
          </w:tcPr>
          <w:p w14:paraId="79DAC464" w14:textId="77777777" w:rsidR="00CB08FE" w:rsidRPr="00C80F8E" w:rsidRDefault="00CB08FE" w:rsidP="00CB08FE">
            <w:pPr>
              <w:spacing w:line="240" w:lineRule="auto"/>
              <w:contextualSpacing/>
              <w:jc w:val="right"/>
              <w:rPr>
                <w:rFonts w:ascii="Abadi" w:hAnsi="Abadi" w:cstheme="minorHAnsi"/>
                <w:iCs/>
                <w:color w:val="000000"/>
                <w:sz w:val="20"/>
                <w:szCs w:val="20"/>
                <w:lang w:val="es-ES_tradnl"/>
              </w:rPr>
            </w:pPr>
          </w:p>
          <w:p w14:paraId="6B0466DB" w14:textId="7DF8B48D" w:rsidR="00CB08FE" w:rsidRPr="00C80F8E" w:rsidRDefault="003928D8" w:rsidP="00CB08FE">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53,932,665.04</w:t>
            </w:r>
          </w:p>
        </w:tc>
      </w:tr>
      <w:tr w:rsidR="005707D1" w:rsidRPr="00C80F8E" w14:paraId="42866DA7" w14:textId="77777777" w:rsidTr="00AF5246">
        <w:trPr>
          <w:trHeight w:val="343"/>
        </w:trPr>
        <w:tc>
          <w:tcPr>
            <w:tcW w:w="4864" w:type="dxa"/>
            <w:noWrap/>
            <w:vAlign w:val="bottom"/>
            <w:hideMark/>
          </w:tcPr>
          <w:p w14:paraId="22872FD8" w14:textId="77777777" w:rsidR="005707D1" w:rsidRPr="00C80F8E" w:rsidRDefault="005707D1" w:rsidP="00494E1F">
            <w:pPr>
              <w:spacing w:line="240" w:lineRule="auto"/>
              <w:contextualSpacing/>
              <w:jc w:val="both"/>
              <w:rPr>
                <w:rFonts w:ascii="Abadi" w:hAnsi="Abadi" w:cstheme="minorHAnsi"/>
                <w:b/>
                <w:bCs/>
                <w:iCs/>
                <w:color w:val="000000"/>
                <w:sz w:val="20"/>
                <w:szCs w:val="20"/>
                <w:lang w:val="es-ES_tradnl"/>
              </w:rPr>
            </w:pPr>
            <w:proofErr w:type="gramStart"/>
            <w:r w:rsidRPr="00C80F8E">
              <w:rPr>
                <w:rFonts w:ascii="Abadi" w:hAnsi="Abadi" w:cstheme="minorHAnsi"/>
                <w:b/>
                <w:bCs/>
                <w:iCs/>
                <w:color w:val="000000"/>
                <w:sz w:val="20"/>
                <w:szCs w:val="20"/>
                <w:lang w:val="es-ES_tradnl"/>
              </w:rPr>
              <w:t>Total</w:t>
            </w:r>
            <w:proofErr w:type="gramEnd"/>
            <w:r w:rsidRPr="00C80F8E">
              <w:rPr>
                <w:rFonts w:ascii="Abadi" w:hAnsi="Abadi" w:cstheme="minorHAnsi"/>
                <w:b/>
                <w:bCs/>
                <w:iCs/>
                <w:color w:val="000000"/>
                <w:sz w:val="20"/>
                <w:szCs w:val="20"/>
                <w:lang w:val="es-ES_tradnl"/>
              </w:rPr>
              <w:t xml:space="preserve"> Disponible en Inversiones</w:t>
            </w:r>
          </w:p>
        </w:tc>
        <w:tc>
          <w:tcPr>
            <w:tcW w:w="2268" w:type="dxa"/>
            <w:tcBorders>
              <w:top w:val="single" w:sz="12" w:space="0" w:color="auto"/>
              <w:bottom w:val="double" w:sz="4" w:space="0" w:color="auto"/>
            </w:tcBorders>
            <w:noWrap/>
            <w:vAlign w:val="bottom"/>
          </w:tcPr>
          <w:p w14:paraId="37432864" w14:textId="63DF1B26" w:rsidR="005707D1" w:rsidRPr="00C80F8E" w:rsidRDefault="00B9626B" w:rsidP="00494E1F">
            <w:pPr>
              <w:spacing w:line="240" w:lineRule="auto"/>
              <w:contextualSpacing/>
              <w:jc w:val="right"/>
              <w:rPr>
                <w:rFonts w:ascii="Abadi" w:hAnsi="Abadi" w:cstheme="minorHAnsi"/>
                <w:b/>
                <w:iCs/>
                <w:color w:val="000000"/>
                <w:sz w:val="20"/>
                <w:szCs w:val="20"/>
                <w:lang w:val="es-ES_tradnl"/>
              </w:rPr>
            </w:pPr>
            <w:r w:rsidRPr="00C80F8E">
              <w:rPr>
                <w:rFonts w:ascii="Abadi" w:hAnsi="Abadi" w:cstheme="minorHAnsi"/>
                <w:b/>
                <w:iCs/>
                <w:color w:val="000000"/>
                <w:sz w:val="20"/>
                <w:szCs w:val="20"/>
                <w:lang w:val="es-ES_tradnl"/>
              </w:rPr>
              <w:t>93,821,699.49</w:t>
            </w:r>
          </w:p>
        </w:tc>
        <w:tc>
          <w:tcPr>
            <w:tcW w:w="2148" w:type="dxa"/>
            <w:tcBorders>
              <w:top w:val="single" w:sz="12" w:space="0" w:color="auto"/>
              <w:bottom w:val="double" w:sz="4" w:space="0" w:color="auto"/>
            </w:tcBorders>
            <w:vAlign w:val="bottom"/>
          </w:tcPr>
          <w:p w14:paraId="267163A4" w14:textId="2658E21A" w:rsidR="005707D1" w:rsidRPr="00C80F8E" w:rsidRDefault="00936481" w:rsidP="00494E1F">
            <w:pPr>
              <w:spacing w:line="240" w:lineRule="auto"/>
              <w:contextualSpacing/>
              <w:jc w:val="right"/>
              <w:rPr>
                <w:rFonts w:ascii="Abadi" w:hAnsi="Abadi" w:cstheme="minorHAnsi"/>
                <w:b/>
                <w:iCs/>
                <w:color w:val="000000"/>
                <w:sz w:val="20"/>
                <w:szCs w:val="20"/>
                <w:lang w:val="es-ES_tradnl"/>
              </w:rPr>
            </w:pPr>
            <w:r w:rsidRPr="00C80F8E">
              <w:rPr>
                <w:rFonts w:ascii="Abadi" w:hAnsi="Abadi" w:cstheme="minorHAnsi"/>
                <w:b/>
                <w:iCs/>
                <w:color w:val="000000"/>
                <w:sz w:val="20"/>
                <w:szCs w:val="20"/>
                <w:lang w:val="es-ES_tradnl"/>
              </w:rPr>
              <w:t>144,029,673.93</w:t>
            </w:r>
          </w:p>
        </w:tc>
      </w:tr>
      <w:bookmarkEnd w:id="48"/>
    </w:tbl>
    <w:p w14:paraId="7A013427" w14:textId="77777777" w:rsidR="00583612" w:rsidRPr="00C80F8E" w:rsidRDefault="00583612" w:rsidP="00BE6810">
      <w:pPr>
        <w:spacing w:line="240" w:lineRule="auto"/>
        <w:contextualSpacing/>
        <w:jc w:val="both"/>
        <w:rPr>
          <w:rFonts w:ascii="Abadi" w:hAnsi="Abadi" w:cstheme="minorHAnsi"/>
          <w:b/>
          <w:iCs/>
          <w:sz w:val="16"/>
          <w:szCs w:val="16"/>
          <w:lang w:val="es-ES_tradnl"/>
        </w:rPr>
      </w:pPr>
    </w:p>
    <w:p w14:paraId="00720E46" w14:textId="77777777" w:rsidR="006D2936" w:rsidRPr="00C80F8E" w:rsidRDefault="006D2936" w:rsidP="00BE6810">
      <w:pPr>
        <w:spacing w:line="240" w:lineRule="auto"/>
        <w:contextualSpacing/>
        <w:jc w:val="both"/>
        <w:rPr>
          <w:rFonts w:ascii="Abadi" w:hAnsi="Abadi" w:cstheme="minorHAnsi"/>
          <w:b/>
          <w:iCs/>
          <w:sz w:val="16"/>
          <w:szCs w:val="16"/>
          <w:lang w:val="es-ES_tradnl"/>
        </w:rPr>
      </w:pPr>
    </w:p>
    <w:p w14:paraId="273BCCB6" w14:textId="047E593B" w:rsidR="0071379C" w:rsidRPr="00C80F8E" w:rsidRDefault="0071379C" w:rsidP="00BE6810">
      <w:pPr>
        <w:spacing w:line="240" w:lineRule="auto"/>
        <w:contextualSpacing/>
        <w:jc w:val="both"/>
        <w:rPr>
          <w:rFonts w:ascii="Abadi" w:hAnsi="Abadi" w:cstheme="minorHAnsi"/>
          <w:b/>
          <w:iCs/>
          <w:sz w:val="20"/>
          <w:szCs w:val="20"/>
          <w:lang w:val="es-ES_tradnl"/>
        </w:rPr>
      </w:pPr>
      <w:r w:rsidRPr="00C80F8E">
        <w:rPr>
          <w:rFonts w:ascii="Abadi" w:hAnsi="Abadi" w:cstheme="minorHAnsi"/>
          <w:b/>
          <w:iCs/>
          <w:sz w:val="20"/>
          <w:szCs w:val="20"/>
          <w:lang w:val="es-ES_tradnl"/>
        </w:rPr>
        <w:t xml:space="preserve">7.3.1 Detalle de Inversiones Financieras a Corto Plazo </w:t>
      </w:r>
    </w:p>
    <w:p w14:paraId="1A37389C" w14:textId="77777777" w:rsidR="002459C2" w:rsidRPr="00C80F8E" w:rsidRDefault="002459C2" w:rsidP="0081600B">
      <w:pPr>
        <w:spacing w:line="240" w:lineRule="auto"/>
        <w:ind w:left="68"/>
        <w:contextualSpacing/>
        <w:rPr>
          <w:rFonts w:ascii="Abadi" w:hAnsi="Abadi" w:cstheme="minorHAnsi"/>
          <w:bCs/>
          <w:sz w:val="16"/>
          <w:szCs w:val="16"/>
          <w:lang w:val="es-ES_tradnl"/>
        </w:rPr>
      </w:pPr>
    </w:p>
    <w:p w14:paraId="565B9777" w14:textId="05AE8294" w:rsidR="0071379C" w:rsidRPr="00C80F8E" w:rsidRDefault="0071379C" w:rsidP="00CD1D2E">
      <w:pPr>
        <w:spacing w:line="240" w:lineRule="auto"/>
        <w:ind w:left="68"/>
        <w:contextualSpacing/>
        <w:rPr>
          <w:rFonts w:ascii="Abadi" w:hAnsi="Abadi" w:cstheme="minorHAnsi"/>
          <w:bCs/>
          <w:sz w:val="20"/>
          <w:szCs w:val="20"/>
          <w:lang w:val="es-ES_tradnl"/>
        </w:rPr>
      </w:pPr>
      <w:r w:rsidRPr="00C80F8E">
        <w:rPr>
          <w:rFonts w:ascii="Abadi" w:hAnsi="Abadi" w:cstheme="minorHAnsi"/>
          <w:bCs/>
          <w:sz w:val="20"/>
          <w:szCs w:val="20"/>
          <w:lang w:val="es-ES_tradnl"/>
        </w:rPr>
        <w:t>Un detalle de las inversiones</w:t>
      </w:r>
      <w:r w:rsidR="002459C2" w:rsidRPr="00C80F8E">
        <w:rPr>
          <w:rFonts w:ascii="Abadi" w:hAnsi="Abadi" w:cstheme="minorHAnsi"/>
          <w:bCs/>
          <w:sz w:val="20"/>
          <w:szCs w:val="20"/>
          <w:lang w:val="es-ES_tradnl"/>
        </w:rPr>
        <w:t xml:space="preserve"> </w:t>
      </w:r>
      <w:r w:rsidR="0081600B" w:rsidRPr="00C80F8E">
        <w:rPr>
          <w:rFonts w:ascii="Abadi" w:hAnsi="Abadi" w:cstheme="minorHAnsi"/>
          <w:bCs/>
          <w:sz w:val="20"/>
          <w:szCs w:val="20"/>
          <w:lang w:val="es-ES_tradnl"/>
        </w:rPr>
        <w:t>financieras a corto plazo equivalentes de efectivo</w:t>
      </w:r>
      <w:r w:rsidRPr="00C80F8E">
        <w:rPr>
          <w:rFonts w:ascii="Abadi" w:hAnsi="Abadi" w:cstheme="minorHAnsi"/>
          <w:bCs/>
          <w:sz w:val="20"/>
          <w:szCs w:val="20"/>
          <w:lang w:val="es-ES_tradnl"/>
        </w:rPr>
        <w:t xml:space="preserve"> al </w:t>
      </w:r>
      <w:r w:rsidR="003264A1" w:rsidRPr="00C80F8E">
        <w:rPr>
          <w:rFonts w:ascii="Abadi" w:hAnsi="Abadi" w:cstheme="minorHAnsi"/>
          <w:bCs/>
          <w:sz w:val="20"/>
          <w:szCs w:val="20"/>
          <w:lang w:val="es-ES_tradnl"/>
        </w:rPr>
        <w:t>3</w:t>
      </w:r>
      <w:r w:rsidR="003A18F7" w:rsidRPr="00C80F8E">
        <w:rPr>
          <w:rFonts w:ascii="Abadi" w:hAnsi="Abadi" w:cstheme="minorHAnsi"/>
          <w:bCs/>
          <w:sz w:val="20"/>
          <w:szCs w:val="20"/>
          <w:lang w:val="es-ES_tradnl"/>
        </w:rPr>
        <w:t>0</w:t>
      </w:r>
      <w:r w:rsidR="003264A1" w:rsidRPr="00C80F8E">
        <w:rPr>
          <w:rFonts w:ascii="Abadi" w:hAnsi="Abadi" w:cstheme="minorHAnsi"/>
          <w:bCs/>
          <w:sz w:val="20"/>
          <w:szCs w:val="20"/>
          <w:lang w:val="es-ES_tradnl"/>
        </w:rPr>
        <w:t xml:space="preserve"> de </w:t>
      </w:r>
      <w:r w:rsidR="003A18F7" w:rsidRPr="00C80F8E">
        <w:rPr>
          <w:rFonts w:ascii="Abadi" w:hAnsi="Abadi" w:cstheme="minorHAnsi"/>
          <w:sz w:val="20"/>
          <w:szCs w:val="20"/>
          <w:lang w:val="es-ES_tradnl"/>
        </w:rPr>
        <w:t>junio</w:t>
      </w:r>
      <w:r w:rsidRPr="00C80F8E">
        <w:rPr>
          <w:rFonts w:ascii="Abadi" w:hAnsi="Abadi" w:cstheme="minorHAnsi"/>
          <w:bCs/>
          <w:sz w:val="20"/>
          <w:szCs w:val="20"/>
          <w:lang w:val="es-ES_tradnl"/>
        </w:rPr>
        <w:t xml:space="preserve"> del 202</w:t>
      </w:r>
      <w:r w:rsidR="003A18F7" w:rsidRPr="00C80F8E">
        <w:rPr>
          <w:rFonts w:ascii="Abadi" w:hAnsi="Abadi" w:cstheme="minorHAnsi"/>
          <w:bCs/>
          <w:sz w:val="20"/>
          <w:szCs w:val="20"/>
          <w:lang w:val="es-ES_tradnl"/>
        </w:rPr>
        <w:t>5</w:t>
      </w:r>
      <w:r w:rsidRPr="00C80F8E">
        <w:rPr>
          <w:rFonts w:ascii="Abadi" w:hAnsi="Abadi" w:cstheme="minorHAnsi"/>
          <w:bCs/>
          <w:sz w:val="20"/>
          <w:szCs w:val="20"/>
          <w:lang w:val="es-ES_tradnl"/>
        </w:rPr>
        <w:t xml:space="preserve"> y 202</w:t>
      </w:r>
      <w:r w:rsidR="003A18F7" w:rsidRPr="00C80F8E">
        <w:rPr>
          <w:rFonts w:ascii="Abadi" w:hAnsi="Abadi" w:cstheme="minorHAnsi"/>
          <w:bCs/>
          <w:sz w:val="20"/>
          <w:szCs w:val="20"/>
          <w:lang w:val="es-ES_tradnl"/>
        </w:rPr>
        <w:t>4</w:t>
      </w:r>
      <w:r w:rsidRPr="00C80F8E">
        <w:rPr>
          <w:rFonts w:ascii="Abadi" w:hAnsi="Abadi" w:cstheme="minorHAnsi"/>
          <w:bCs/>
          <w:sz w:val="20"/>
          <w:szCs w:val="20"/>
          <w:lang w:val="es-ES_tradnl"/>
        </w:rPr>
        <w:t>, representa movimientos por lo cual, generó intereses en el periodo.</w:t>
      </w:r>
    </w:p>
    <w:p w14:paraId="3C20FFB3" w14:textId="77777777" w:rsidR="00CD1D2E" w:rsidRPr="00C80F8E" w:rsidRDefault="00CD1D2E" w:rsidP="00CD1D2E">
      <w:pPr>
        <w:spacing w:line="240" w:lineRule="auto"/>
        <w:ind w:left="68"/>
        <w:contextualSpacing/>
        <w:rPr>
          <w:rFonts w:ascii="Abadi" w:hAnsi="Abadi" w:cstheme="minorHAnsi"/>
          <w:bCs/>
          <w:sz w:val="16"/>
          <w:szCs w:val="16"/>
          <w:lang w:val="es-ES_tradnl"/>
        </w:rPr>
      </w:pPr>
    </w:p>
    <w:p w14:paraId="14BD290A" w14:textId="3E60C357" w:rsidR="0071379C" w:rsidRPr="00C80F8E" w:rsidRDefault="0071379C" w:rsidP="00CD1D2E">
      <w:pPr>
        <w:spacing w:line="240" w:lineRule="auto"/>
        <w:contextualSpacing/>
        <w:rPr>
          <w:rFonts w:ascii="Abadi" w:hAnsi="Abadi" w:cstheme="minorHAnsi"/>
          <w:b/>
          <w:sz w:val="20"/>
          <w:szCs w:val="20"/>
          <w:lang w:val="es-ES_tradnl"/>
        </w:rPr>
      </w:pPr>
      <w:r w:rsidRPr="00C80F8E">
        <w:rPr>
          <w:rFonts w:ascii="Abadi" w:hAnsi="Abadi" w:cstheme="minorHAnsi"/>
          <w:bCs/>
          <w:iCs/>
          <w:sz w:val="20"/>
          <w:szCs w:val="20"/>
          <w:lang w:val="es-ES_tradnl" w:eastAsia="es-ES"/>
        </w:rPr>
        <w:t xml:space="preserve">El siguiente cuadro muestra un detalle </w:t>
      </w:r>
      <w:r w:rsidRPr="00C80F8E">
        <w:rPr>
          <w:rFonts w:ascii="Abadi" w:hAnsi="Abadi" w:cstheme="minorHAnsi"/>
          <w:iCs/>
          <w:sz w:val="20"/>
          <w:szCs w:val="20"/>
          <w:lang w:val="es-ES_tradnl"/>
        </w:rPr>
        <w:t xml:space="preserve">del Saldo de las Inversiones Financieras al </w:t>
      </w:r>
      <w:r w:rsidR="008F6A4A" w:rsidRPr="00C80F8E">
        <w:rPr>
          <w:rFonts w:ascii="Abadi" w:hAnsi="Abadi" w:cstheme="minorHAnsi"/>
          <w:sz w:val="20"/>
          <w:szCs w:val="20"/>
          <w:lang w:val="es-ES_tradnl"/>
        </w:rPr>
        <w:t>3</w:t>
      </w:r>
      <w:r w:rsidR="003A4496" w:rsidRPr="00C80F8E">
        <w:rPr>
          <w:rFonts w:ascii="Abadi" w:hAnsi="Abadi" w:cstheme="minorHAnsi"/>
          <w:sz w:val="20"/>
          <w:szCs w:val="20"/>
          <w:lang w:val="es-ES_tradnl"/>
        </w:rPr>
        <w:t>0</w:t>
      </w:r>
      <w:r w:rsidR="008F6A4A" w:rsidRPr="00C80F8E">
        <w:rPr>
          <w:rFonts w:ascii="Abadi" w:hAnsi="Abadi" w:cstheme="minorHAnsi"/>
          <w:sz w:val="20"/>
          <w:szCs w:val="20"/>
          <w:lang w:val="es-ES_tradnl"/>
        </w:rPr>
        <w:t xml:space="preserve"> de </w:t>
      </w:r>
      <w:r w:rsidR="003A4496" w:rsidRPr="00C80F8E">
        <w:rPr>
          <w:rFonts w:ascii="Abadi" w:hAnsi="Abadi" w:cstheme="minorHAnsi"/>
          <w:sz w:val="20"/>
          <w:szCs w:val="20"/>
          <w:lang w:val="es-ES_tradnl"/>
        </w:rPr>
        <w:t>junio</w:t>
      </w:r>
      <w:r w:rsidR="008F6A4A" w:rsidRPr="00C80F8E">
        <w:rPr>
          <w:rFonts w:ascii="Abadi" w:hAnsi="Abadi" w:cstheme="minorHAnsi"/>
          <w:sz w:val="20"/>
          <w:szCs w:val="20"/>
          <w:lang w:val="es-ES_tradnl"/>
        </w:rPr>
        <w:t xml:space="preserve"> </w:t>
      </w:r>
      <w:r w:rsidRPr="00C80F8E">
        <w:rPr>
          <w:rFonts w:ascii="Abadi" w:hAnsi="Abadi" w:cstheme="minorHAnsi"/>
          <w:iCs/>
          <w:sz w:val="20"/>
          <w:szCs w:val="20"/>
          <w:lang w:val="es-ES_tradnl"/>
        </w:rPr>
        <w:t>del 202</w:t>
      </w:r>
      <w:r w:rsidR="003A4496" w:rsidRPr="00C80F8E">
        <w:rPr>
          <w:rFonts w:ascii="Abadi" w:hAnsi="Abadi" w:cstheme="minorHAnsi"/>
          <w:iCs/>
          <w:sz w:val="20"/>
          <w:szCs w:val="20"/>
          <w:lang w:val="es-ES_tradnl"/>
        </w:rPr>
        <w:t>5</w:t>
      </w:r>
      <w:r w:rsidR="0006222A" w:rsidRPr="00C80F8E">
        <w:rPr>
          <w:rFonts w:ascii="Abadi" w:hAnsi="Abadi" w:cstheme="minorHAnsi"/>
          <w:iCs/>
          <w:sz w:val="20"/>
          <w:szCs w:val="20"/>
          <w:lang w:val="es-ES_tradnl"/>
        </w:rPr>
        <w:t xml:space="preserve"> y 2024</w:t>
      </w:r>
      <w:r w:rsidRPr="00C80F8E">
        <w:rPr>
          <w:rFonts w:ascii="Abadi" w:hAnsi="Abadi" w:cstheme="minorHAnsi"/>
          <w:iCs/>
          <w:sz w:val="20"/>
          <w:szCs w:val="20"/>
          <w:lang w:val="es-ES_tradnl"/>
        </w:rPr>
        <w:t>:</w:t>
      </w:r>
    </w:p>
    <w:p w14:paraId="72A019B3" w14:textId="77777777" w:rsidR="000B420E" w:rsidRPr="00C80F8E" w:rsidRDefault="000B420E" w:rsidP="00BF487F">
      <w:pPr>
        <w:spacing w:line="240" w:lineRule="auto"/>
        <w:contextualSpacing/>
        <w:jc w:val="both"/>
        <w:rPr>
          <w:rFonts w:ascii="Abadi" w:hAnsi="Abadi" w:cstheme="minorHAnsi"/>
          <w:b/>
          <w:bCs/>
          <w:iCs/>
          <w:color w:val="000000"/>
          <w:sz w:val="16"/>
          <w:szCs w:val="16"/>
          <w:lang w:val="es-ES_tradnl"/>
        </w:rPr>
      </w:pPr>
    </w:p>
    <w:p w14:paraId="29CE38B7" w14:textId="07404BC6" w:rsidR="0006222A" w:rsidRPr="00C80F8E" w:rsidRDefault="0006222A" w:rsidP="0006222A">
      <w:pPr>
        <w:spacing w:line="240" w:lineRule="auto"/>
        <w:contextualSpacing/>
        <w:jc w:val="both"/>
        <w:rPr>
          <w:rFonts w:ascii="Abadi" w:hAnsi="Abadi" w:cstheme="minorHAnsi"/>
          <w:b/>
          <w:sz w:val="20"/>
          <w:szCs w:val="20"/>
          <w:lang w:val="es-ES_tradnl"/>
        </w:rPr>
      </w:pPr>
      <w:r w:rsidRPr="00C80F8E">
        <w:rPr>
          <w:rFonts w:ascii="Abadi" w:hAnsi="Abadi" w:cstheme="minorHAnsi"/>
          <w:b/>
          <w:sz w:val="20"/>
          <w:szCs w:val="20"/>
          <w:lang w:val="es-ES_tradnl"/>
        </w:rPr>
        <w:t>Para el 2025</w:t>
      </w:r>
    </w:p>
    <w:p w14:paraId="30DFC7D5" w14:textId="77777777" w:rsidR="0006222A" w:rsidRPr="00C80F8E" w:rsidRDefault="0006222A" w:rsidP="00BF487F">
      <w:pPr>
        <w:spacing w:line="240" w:lineRule="auto"/>
        <w:contextualSpacing/>
        <w:jc w:val="both"/>
        <w:rPr>
          <w:rFonts w:ascii="Abadi" w:hAnsi="Abadi" w:cstheme="minorHAnsi"/>
          <w:b/>
          <w:bCs/>
          <w:iCs/>
          <w:color w:val="000000"/>
          <w:sz w:val="20"/>
          <w:szCs w:val="20"/>
          <w:lang w:val="es-ES_tradnl"/>
        </w:rPr>
      </w:pPr>
    </w:p>
    <w:p w14:paraId="07F09A40" w14:textId="2132B1E8" w:rsidR="00CB53D0" w:rsidRPr="00C80F8E" w:rsidRDefault="0071379C" w:rsidP="00BF487F">
      <w:pPr>
        <w:spacing w:line="240" w:lineRule="auto"/>
        <w:contextualSpacing/>
        <w:jc w:val="both"/>
        <w:rPr>
          <w:rFonts w:ascii="Abadi" w:hAnsi="Abadi" w:cstheme="minorHAnsi"/>
          <w:b/>
          <w:bCs/>
          <w:iCs/>
          <w:color w:val="000000"/>
          <w:sz w:val="20"/>
          <w:szCs w:val="20"/>
          <w:lang w:val="es-ES_tradnl"/>
        </w:rPr>
      </w:pPr>
      <w:r w:rsidRPr="00C80F8E">
        <w:rPr>
          <w:rFonts w:ascii="Abadi" w:hAnsi="Abadi" w:cstheme="minorHAnsi"/>
          <w:b/>
          <w:bCs/>
          <w:iCs/>
          <w:color w:val="000000"/>
          <w:sz w:val="20"/>
          <w:szCs w:val="20"/>
          <w:lang w:val="es-ES_tradnl"/>
        </w:rPr>
        <w:t>Banco de Reservas</w:t>
      </w:r>
    </w:p>
    <w:p w14:paraId="4D42FB1B" w14:textId="77777777" w:rsidR="00B321DB" w:rsidRPr="00C80F8E" w:rsidRDefault="00B321DB" w:rsidP="00BF487F">
      <w:pPr>
        <w:spacing w:line="240" w:lineRule="auto"/>
        <w:contextualSpacing/>
        <w:jc w:val="both"/>
        <w:rPr>
          <w:rFonts w:ascii="Abadi" w:hAnsi="Abadi" w:cstheme="minorHAnsi"/>
          <w:b/>
          <w:bCs/>
          <w:iCs/>
          <w:color w:val="000000"/>
          <w:sz w:val="20"/>
          <w:szCs w:val="20"/>
          <w:lang w:val="es-ES_tradnl"/>
        </w:rPr>
      </w:pPr>
    </w:p>
    <w:tbl>
      <w:tblPr>
        <w:tblW w:w="93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68"/>
        <w:gridCol w:w="1434"/>
        <w:gridCol w:w="827"/>
        <w:gridCol w:w="847"/>
        <w:gridCol w:w="1577"/>
        <w:gridCol w:w="1670"/>
        <w:gridCol w:w="1707"/>
      </w:tblGrid>
      <w:tr w:rsidR="00D240E2" w:rsidRPr="00C80F8E" w14:paraId="06344CC0" w14:textId="77777777" w:rsidTr="00310BC6">
        <w:trPr>
          <w:trHeight w:val="74"/>
        </w:trPr>
        <w:tc>
          <w:tcPr>
            <w:tcW w:w="1268" w:type="dxa"/>
            <w:tcBorders>
              <w:top w:val="single" w:sz="12" w:space="0" w:color="auto"/>
              <w:bottom w:val="single" w:sz="8" w:space="0" w:color="auto"/>
            </w:tcBorders>
            <w:shd w:val="clear" w:color="000000" w:fill="0070C0"/>
            <w:vAlign w:val="bottom"/>
            <w:hideMark/>
          </w:tcPr>
          <w:p w14:paraId="065A83A5" w14:textId="77777777"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Fecha</w:t>
            </w:r>
          </w:p>
        </w:tc>
        <w:tc>
          <w:tcPr>
            <w:tcW w:w="1434" w:type="dxa"/>
            <w:tcBorders>
              <w:top w:val="single" w:sz="12" w:space="0" w:color="auto"/>
              <w:bottom w:val="single" w:sz="8" w:space="0" w:color="auto"/>
            </w:tcBorders>
            <w:shd w:val="clear" w:color="000000" w:fill="0070C0"/>
            <w:vAlign w:val="bottom"/>
            <w:hideMark/>
          </w:tcPr>
          <w:p w14:paraId="5978F7D4" w14:textId="77777777"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Descripción</w:t>
            </w:r>
          </w:p>
        </w:tc>
        <w:tc>
          <w:tcPr>
            <w:tcW w:w="827" w:type="dxa"/>
            <w:tcBorders>
              <w:top w:val="single" w:sz="12" w:space="0" w:color="auto"/>
              <w:bottom w:val="single" w:sz="8" w:space="0" w:color="auto"/>
            </w:tcBorders>
            <w:shd w:val="clear" w:color="000000" w:fill="0070C0"/>
            <w:vAlign w:val="bottom"/>
          </w:tcPr>
          <w:p w14:paraId="26EFC20D" w14:textId="69337A35"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 xml:space="preserve">Tasa </w:t>
            </w:r>
            <w:proofErr w:type="spellStart"/>
            <w:r w:rsidRPr="00C80F8E">
              <w:rPr>
                <w:rFonts w:ascii="Abadi" w:hAnsi="Abadi" w:cs="Calibri"/>
                <w:color w:val="FFFFFF"/>
                <w:sz w:val="20"/>
                <w:szCs w:val="20"/>
                <w:lang w:val="es-ES_tradnl"/>
              </w:rPr>
              <w:t>Interes</w:t>
            </w:r>
            <w:proofErr w:type="spellEnd"/>
          </w:p>
        </w:tc>
        <w:tc>
          <w:tcPr>
            <w:tcW w:w="847" w:type="dxa"/>
            <w:tcBorders>
              <w:top w:val="single" w:sz="12" w:space="0" w:color="auto"/>
              <w:bottom w:val="single" w:sz="8" w:space="0" w:color="auto"/>
            </w:tcBorders>
            <w:shd w:val="clear" w:color="000000" w:fill="0070C0"/>
            <w:vAlign w:val="bottom"/>
          </w:tcPr>
          <w:p w14:paraId="10C86446" w14:textId="6778F8DA"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Plazo</w:t>
            </w:r>
          </w:p>
        </w:tc>
        <w:tc>
          <w:tcPr>
            <w:tcW w:w="1577" w:type="dxa"/>
            <w:tcBorders>
              <w:top w:val="single" w:sz="12" w:space="0" w:color="auto"/>
              <w:bottom w:val="single" w:sz="8" w:space="0" w:color="auto"/>
            </w:tcBorders>
            <w:shd w:val="clear" w:color="000000" w:fill="0070C0"/>
            <w:vAlign w:val="bottom"/>
            <w:hideMark/>
          </w:tcPr>
          <w:p w14:paraId="72BB8640" w14:textId="77777777"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Monto</w:t>
            </w:r>
          </w:p>
          <w:p w14:paraId="1F1A47A1" w14:textId="77777777"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Nominal</w:t>
            </w:r>
          </w:p>
        </w:tc>
        <w:tc>
          <w:tcPr>
            <w:tcW w:w="1670" w:type="dxa"/>
            <w:tcBorders>
              <w:top w:val="single" w:sz="12" w:space="0" w:color="auto"/>
              <w:bottom w:val="single" w:sz="8" w:space="0" w:color="auto"/>
            </w:tcBorders>
            <w:shd w:val="clear" w:color="000000" w:fill="0070C0"/>
            <w:vAlign w:val="bottom"/>
            <w:hideMark/>
          </w:tcPr>
          <w:p w14:paraId="4E3AA110" w14:textId="77777777"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Intereses Ganados</w:t>
            </w:r>
          </w:p>
        </w:tc>
        <w:tc>
          <w:tcPr>
            <w:tcW w:w="1707" w:type="dxa"/>
            <w:tcBorders>
              <w:top w:val="single" w:sz="12" w:space="0" w:color="auto"/>
              <w:bottom w:val="single" w:sz="8" w:space="0" w:color="auto"/>
            </w:tcBorders>
            <w:shd w:val="clear" w:color="000000" w:fill="0070C0"/>
            <w:vAlign w:val="bottom"/>
            <w:hideMark/>
          </w:tcPr>
          <w:p w14:paraId="3A41B7C8" w14:textId="77777777" w:rsidR="00D240E2" w:rsidRPr="00C80F8E" w:rsidRDefault="00D240E2"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Monto Capitalizado</w:t>
            </w:r>
          </w:p>
        </w:tc>
      </w:tr>
      <w:tr w:rsidR="00D240E2" w:rsidRPr="00C80F8E" w14:paraId="2807F898" w14:textId="77777777" w:rsidTr="00310BC6">
        <w:trPr>
          <w:trHeight w:val="44"/>
        </w:trPr>
        <w:tc>
          <w:tcPr>
            <w:tcW w:w="1268" w:type="dxa"/>
            <w:tcBorders>
              <w:top w:val="single" w:sz="8" w:space="0" w:color="auto"/>
            </w:tcBorders>
            <w:noWrap/>
            <w:vAlign w:val="bottom"/>
            <w:hideMark/>
          </w:tcPr>
          <w:p w14:paraId="1F71141B" w14:textId="77777777" w:rsidR="00D240E2" w:rsidRPr="00C80F8E" w:rsidRDefault="00D240E2" w:rsidP="00527E73">
            <w:pPr>
              <w:jc w:val="center"/>
              <w:rPr>
                <w:rFonts w:cstheme="minorHAnsi"/>
                <w:sz w:val="20"/>
                <w:szCs w:val="20"/>
                <w:lang w:val="es-ES_tradnl"/>
              </w:rPr>
            </w:pPr>
            <w:r w:rsidRPr="00C80F8E">
              <w:rPr>
                <w:rFonts w:cstheme="minorHAnsi"/>
                <w:sz w:val="20"/>
                <w:szCs w:val="20"/>
                <w:lang w:val="es-ES_tradnl"/>
              </w:rPr>
              <w:t>22/10/2024</w:t>
            </w:r>
          </w:p>
        </w:tc>
        <w:tc>
          <w:tcPr>
            <w:tcW w:w="1434" w:type="dxa"/>
            <w:tcBorders>
              <w:top w:val="single" w:sz="8" w:space="0" w:color="auto"/>
            </w:tcBorders>
            <w:noWrap/>
            <w:vAlign w:val="bottom"/>
            <w:hideMark/>
          </w:tcPr>
          <w:p w14:paraId="501D05AE" w14:textId="77777777" w:rsidR="00D240E2" w:rsidRPr="00C80F8E" w:rsidRDefault="00D240E2" w:rsidP="00527E73">
            <w:pPr>
              <w:jc w:val="center"/>
              <w:rPr>
                <w:rFonts w:cstheme="minorHAnsi"/>
                <w:sz w:val="20"/>
                <w:szCs w:val="20"/>
                <w:lang w:val="es-ES_tradnl"/>
              </w:rPr>
            </w:pPr>
            <w:r w:rsidRPr="00C80F8E">
              <w:rPr>
                <w:rFonts w:cstheme="minorHAnsi"/>
                <w:sz w:val="20"/>
                <w:szCs w:val="20"/>
                <w:lang w:val="es-ES_tradnl"/>
              </w:rPr>
              <w:t>9607642227</w:t>
            </w:r>
          </w:p>
        </w:tc>
        <w:tc>
          <w:tcPr>
            <w:tcW w:w="827" w:type="dxa"/>
            <w:tcBorders>
              <w:top w:val="single" w:sz="8" w:space="0" w:color="auto"/>
            </w:tcBorders>
            <w:vAlign w:val="bottom"/>
          </w:tcPr>
          <w:p w14:paraId="1A21BA7B" w14:textId="4A7C1203" w:rsidR="00D240E2" w:rsidRPr="00C80F8E" w:rsidRDefault="007C676D" w:rsidP="00527E73">
            <w:pPr>
              <w:jc w:val="center"/>
              <w:rPr>
                <w:rFonts w:cstheme="minorHAnsi"/>
                <w:color w:val="000000"/>
                <w:sz w:val="20"/>
                <w:szCs w:val="20"/>
                <w:lang w:val="es-ES_tradnl"/>
              </w:rPr>
            </w:pPr>
            <w:r w:rsidRPr="00C80F8E">
              <w:rPr>
                <w:rFonts w:cstheme="minorHAnsi"/>
                <w:color w:val="000000"/>
                <w:sz w:val="20"/>
                <w:szCs w:val="20"/>
                <w:lang w:val="es-ES_tradnl"/>
              </w:rPr>
              <w:t>10.25%</w:t>
            </w:r>
          </w:p>
        </w:tc>
        <w:tc>
          <w:tcPr>
            <w:tcW w:w="847" w:type="dxa"/>
            <w:tcBorders>
              <w:top w:val="single" w:sz="8" w:space="0" w:color="auto"/>
            </w:tcBorders>
            <w:vAlign w:val="bottom"/>
          </w:tcPr>
          <w:p w14:paraId="046FD50F" w14:textId="033818F2" w:rsidR="00D240E2" w:rsidRPr="00C80F8E" w:rsidRDefault="00D240E2" w:rsidP="00527E73">
            <w:pPr>
              <w:jc w:val="center"/>
              <w:rPr>
                <w:rFonts w:cstheme="minorHAnsi"/>
                <w:color w:val="000000"/>
                <w:sz w:val="20"/>
                <w:szCs w:val="20"/>
                <w:lang w:val="es-ES_tradnl"/>
              </w:rPr>
            </w:pPr>
            <w:r w:rsidRPr="00C80F8E">
              <w:rPr>
                <w:rFonts w:cstheme="minorHAnsi"/>
                <w:color w:val="000000"/>
                <w:sz w:val="20"/>
                <w:szCs w:val="20"/>
                <w:lang w:val="es-ES_tradnl"/>
              </w:rPr>
              <w:t>90 Días</w:t>
            </w:r>
          </w:p>
        </w:tc>
        <w:tc>
          <w:tcPr>
            <w:tcW w:w="1577" w:type="dxa"/>
            <w:tcBorders>
              <w:top w:val="single" w:sz="8" w:space="0" w:color="auto"/>
            </w:tcBorders>
            <w:noWrap/>
            <w:vAlign w:val="bottom"/>
            <w:hideMark/>
          </w:tcPr>
          <w:p w14:paraId="514D42B1"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50,000,000.00</w:t>
            </w:r>
          </w:p>
        </w:tc>
        <w:tc>
          <w:tcPr>
            <w:tcW w:w="1670" w:type="dxa"/>
            <w:tcBorders>
              <w:top w:val="single" w:sz="8" w:space="0" w:color="auto"/>
            </w:tcBorders>
            <w:noWrap/>
            <w:vAlign w:val="bottom"/>
            <w:hideMark/>
          </w:tcPr>
          <w:p w14:paraId="1C045A84"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3,520,574.49</w:t>
            </w:r>
          </w:p>
        </w:tc>
        <w:tc>
          <w:tcPr>
            <w:tcW w:w="1707" w:type="dxa"/>
            <w:tcBorders>
              <w:top w:val="single" w:sz="8" w:space="0" w:color="auto"/>
            </w:tcBorders>
            <w:noWrap/>
            <w:vAlign w:val="bottom"/>
          </w:tcPr>
          <w:p w14:paraId="6E11481A"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53,520,574.49</w:t>
            </w:r>
          </w:p>
        </w:tc>
      </w:tr>
      <w:tr w:rsidR="00D240E2" w:rsidRPr="00C80F8E" w14:paraId="19C436F1" w14:textId="77777777" w:rsidTr="00310BC6">
        <w:trPr>
          <w:trHeight w:val="62"/>
        </w:trPr>
        <w:tc>
          <w:tcPr>
            <w:tcW w:w="1268" w:type="dxa"/>
            <w:noWrap/>
            <w:vAlign w:val="bottom"/>
          </w:tcPr>
          <w:p w14:paraId="54D8AF77" w14:textId="77777777" w:rsidR="00D240E2" w:rsidRPr="00C80F8E" w:rsidRDefault="00D240E2" w:rsidP="00527E73">
            <w:pPr>
              <w:jc w:val="center"/>
              <w:rPr>
                <w:rFonts w:cstheme="minorHAnsi"/>
                <w:sz w:val="20"/>
                <w:szCs w:val="20"/>
                <w:lang w:val="es-ES_tradnl"/>
              </w:rPr>
            </w:pPr>
            <w:r w:rsidRPr="00C80F8E">
              <w:rPr>
                <w:rFonts w:cstheme="minorHAnsi"/>
                <w:sz w:val="20"/>
                <w:szCs w:val="20"/>
                <w:lang w:val="es-ES_tradnl"/>
              </w:rPr>
              <w:t>16/04/2025</w:t>
            </w:r>
          </w:p>
        </w:tc>
        <w:tc>
          <w:tcPr>
            <w:tcW w:w="1434" w:type="dxa"/>
            <w:noWrap/>
            <w:vAlign w:val="bottom"/>
          </w:tcPr>
          <w:p w14:paraId="17D056AD" w14:textId="77777777" w:rsidR="00D240E2" w:rsidRPr="00C80F8E" w:rsidRDefault="00D240E2" w:rsidP="00527E73">
            <w:pPr>
              <w:jc w:val="center"/>
              <w:rPr>
                <w:rFonts w:cstheme="minorHAnsi"/>
                <w:sz w:val="20"/>
                <w:szCs w:val="20"/>
                <w:lang w:val="es-ES_tradnl"/>
              </w:rPr>
            </w:pPr>
            <w:r w:rsidRPr="00C80F8E">
              <w:rPr>
                <w:rFonts w:cstheme="minorHAnsi"/>
                <w:sz w:val="20"/>
                <w:szCs w:val="20"/>
                <w:lang w:val="es-ES_tradnl"/>
              </w:rPr>
              <w:t>9608239118</w:t>
            </w:r>
          </w:p>
        </w:tc>
        <w:tc>
          <w:tcPr>
            <w:tcW w:w="827" w:type="dxa"/>
            <w:vAlign w:val="bottom"/>
          </w:tcPr>
          <w:p w14:paraId="15533A63" w14:textId="4B9DA988" w:rsidR="00D240E2" w:rsidRPr="00C80F8E" w:rsidRDefault="00BF16D9" w:rsidP="00527E73">
            <w:pPr>
              <w:jc w:val="center"/>
              <w:rPr>
                <w:rFonts w:cstheme="minorHAnsi"/>
                <w:color w:val="000000"/>
                <w:sz w:val="20"/>
                <w:szCs w:val="20"/>
                <w:lang w:val="es-ES_tradnl"/>
              </w:rPr>
            </w:pPr>
            <w:r w:rsidRPr="00C80F8E">
              <w:rPr>
                <w:rFonts w:cstheme="minorHAnsi"/>
                <w:color w:val="000000"/>
                <w:sz w:val="20"/>
                <w:szCs w:val="20"/>
                <w:lang w:val="es-ES_tradnl"/>
              </w:rPr>
              <w:t>9.00%</w:t>
            </w:r>
          </w:p>
        </w:tc>
        <w:tc>
          <w:tcPr>
            <w:tcW w:w="847" w:type="dxa"/>
            <w:vAlign w:val="bottom"/>
          </w:tcPr>
          <w:p w14:paraId="2E99FAA6" w14:textId="54D89EDC" w:rsidR="00D240E2" w:rsidRPr="00C80F8E" w:rsidRDefault="00D240E2" w:rsidP="00527E73">
            <w:pPr>
              <w:jc w:val="center"/>
              <w:rPr>
                <w:rFonts w:cstheme="minorHAnsi"/>
                <w:color w:val="000000"/>
                <w:sz w:val="20"/>
                <w:szCs w:val="20"/>
                <w:lang w:val="es-ES_tradnl"/>
              </w:rPr>
            </w:pPr>
            <w:r w:rsidRPr="00C80F8E">
              <w:rPr>
                <w:rFonts w:cstheme="minorHAnsi"/>
                <w:color w:val="000000"/>
                <w:sz w:val="20"/>
                <w:szCs w:val="20"/>
                <w:lang w:val="es-ES_tradnl"/>
              </w:rPr>
              <w:t>90 Días</w:t>
            </w:r>
          </w:p>
        </w:tc>
        <w:tc>
          <w:tcPr>
            <w:tcW w:w="1577" w:type="dxa"/>
            <w:noWrap/>
            <w:vAlign w:val="bottom"/>
          </w:tcPr>
          <w:p w14:paraId="643176F0"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20,000,000.00</w:t>
            </w:r>
          </w:p>
        </w:tc>
        <w:tc>
          <w:tcPr>
            <w:tcW w:w="1670" w:type="dxa"/>
            <w:noWrap/>
            <w:vAlign w:val="bottom"/>
          </w:tcPr>
          <w:p w14:paraId="58ACBDB6"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301,125.00</w:t>
            </w:r>
          </w:p>
        </w:tc>
        <w:tc>
          <w:tcPr>
            <w:tcW w:w="1707" w:type="dxa"/>
            <w:noWrap/>
            <w:vAlign w:val="bottom"/>
          </w:tcPr>
          <w:p w14:paraId="75F6D7DD"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20,301,125.00</w:t>
            </w:r>
          </w:p>
        </w:tc>
      </w:tr>
      <w:tr w:rsidR="00D240E2" w:rsidRPr="00C80F8E" w14:paraId="4B46406E" w14:textId="77777777" w:rsidTr="00310BC6">
        <w:trPr>
          <w:trHeight w:val="62"/>
        </w:trPr>
        <w:tc>
          <w:tcPr>
            <w:tcW w:w="1268" w:type="dxa"/>
            <w:noWrap/>
            <w:vAlign w:val="bottom"/>
          </w:tcPr>
          <w:p w14:paraId="177C868F" w14:textId="77777777" w:rsidR="00D240E2" w:rsidRPr="00C80F8E" w:rsidRDefault="00D240E2" w:rsidP="00527E73">
            <w:pPr>
              <w:jc w:val="center"/>
              <w:rPr>
                <w:rFonts w:cstheme="minorHAnsi"/>
                <w:sz w:val="20"/>
                <w:szCs w:val="20"/>
                <w:lang w:val="es-ES_tradnl"/>
              </w:rPr>
            </w:pPr>
            <w:r w:rsidRPr="00C80F8E">
              <w:rPr>
                <w:rFonts w:cstheme="minorHAnsi"/>
                <w:sz w:val="20"/>
                <w:szCs w:val="20"/>
                <w:lang w:val="es-ES_tradnl"/>
              </w:rPr>
              <w:t>05/06/2025</w:t>
            </w:r>
          </w:p>
        </w:tc>
        <w:tc>
          <w:tcPr>
            <w:tcW w:w="1434" w:type="dxa"/>
            <w:noWrap/>
            <w:vAlign w:val="bottom"/>
          </w:tcPr>
          <w:p w14:paraId="1F42C89C" w14:textId="77777777" w:rsidR="00D240E2" w:rsidRPr="00C80F8E" w:rsidRDefault="00D240E2" w:rsidP="00527E73">
            <w:pPr>
              <w:jc w:val="center"/>
              <w:rPr>
                <w:rFonts w:cstheme="minorHAnsi"/>
                <w:sz w:val="20"/>
                <w:szCs w:val="20"/>
                <w:lang w:val="es-ES_tradnl"/>
              </w:rPr>
            </w:pPr>
            <w:r w:rsidRPr="00C80F8E">
              <w:rPr>
                <w:rFonts w:cstheme="minorHAnsi"/>
                <w:sz w:val="20"/>
                <w:szCs w:val="20"/>
                <w:lang w:val="es-ES_tradnl"/>
              </w:rPr>
              <w:t>9608408780</w:t>
            </w:r>
          </w:p>
        </w:tc>
        <w:tc>
          <w:tcPr>
            <w:tcW w:w="827" w:type="dxa"/>
            <w:vAlign w:val="bottom"/>
          </w:tcPr>
          <w:p w14:paraId="0E91BBD1" w14:textId="4D62D2F3" w:rsidR="00D240E2" w:rsidRPr="00C80F8E" w:rsidRDefault="00BF16D9" w:rsidP="00527E73">
            <w:pPr>
              <w:jc w:val="center"/>
              <w:rPr>
                <w:rFonts w:cstheme="minorHAnsi"/>
                <w:color w:val="000000"/>
                <w:sz w:val="20"/>
                <w:szCs w:val="20"/>
                <w:lang w:val="es-ES_tradnl"/>
              </w:rPr>
            </w:pPr>
            <w:r w:rsidRPr="00C80F8E">
              <w:rPr>
                <w:rFonts w:cstheme="minorHAnsi"/>
                <w:color w:val="000000"/>
                <w:sz w:val="20"/>
                <w:szCs w:val="20"/>
                <w:lang w:val="es-ES_tradnl"/>
              </w:rPr>
              <w:t>9.00%</w:t>
            </w:r>
          </w:p>
        </w:tc>
        <w:tc>
          <w:tcPr>
            <w:tcW w:w="847" w:type="dxa"/>
            <w:vAlign w:val="bottom"/>
          </w:tcPr>
          <w:p w14:paraId="6016C609" w14:textId="5185A181" w:rsidR="00D240E2" w:rsidRPr="00C80F8E" w:rsidRDefault="00D240E2" w:rsidP="00527E73">
            <w:pPr>
              <w:jc w:val="center"/>
              <w:rPr>
                <w:rFonts w:cstheme="minorHAnsi"/>
                <w:color w:val="000000"/>
                <w:sz w:val="20"/>
                <w:szCs w:val="20"/>
                <w:lang w:val="es-ES_tradnl"/>
              </w:rPr>
            </w:pPr>
            <w:r w:rsidRPr="00C80F8E">
              <w:rPr>
                <w:rFonts w:cstheme="minorHAnsi"/>
                <w:color w:val="000000"/>
                <w:sz w:val="20"/>
                <w:szCs w:val="20"/>
                <w:lang w:val="es-ES_tradnl"/>
              </w:rPr>
              <w:t>90 Días</w:t>
            </w:r>
          </w:p>
        </w:tc>
        <w:tc>
          <w:tcPr>
            <w:tcW w:w="1577" w:type="dxa"/>
            <w:tcBorders>
              <w:bottom w:val="single" w:sz="12" w:space="0" w:color="auto"/>
              <w:right w:val="single" w:sz="12" w:space="0" w:color="auto"/>
            </w:tcBorders>
            <w:noWrap/>
            <w:vAlign w:val="bottom"/>
          </w:tcPr>
          <w:p w14:paraId="64B83E67"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20,000,000.00</w:t>
            </w:r>
          </w:p>
        </w:tc>
        <w:tc>
          <w:tcPr>
            <w:tcW w:w="1670" w:type="dxa"/>
            <w:tcBorders>
              <w:left w:val="single" w:sz="12" w:space="0" w:color="auto"/>
              <w:bottom w:val="single" w:sz="12" w:space="0" w:color="auto"/>
            </w:tcBorders>
            <w:noWrap/>
            <w:vAlign w:val="bottom"/>
          </w:tcPr>
          <w:p w14:paraId="0B3EEE48"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w:t>
            </w:r>
          </w:p>
        </w:tc>
        <w:tc>
          <w:tcPr>
            <w:tcW w:w="1707" w:type="dxa"/>
            <w:tcBorders>
              <w:bottom w:val="single" w:sz="12" w:space="0" w:color="auto"/>
            </w:tcBorders>
            <w:noWrap/>
            <w:vAlign w:val="bottom"/>
          </w:tcPr>
          <w:p w14:paraId="0847F31C"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20,000,000.00</w:t>
            </w:r>
          </w:p>
        </w:tc>
      </w:tr>
      <w:tr w:rsidR="00D240E2" w:rsidRPr="00C80F8E" w14:paraId="71986D3B" w14:textId="77777777" w:rsidTr="00310BC6">
        <w:trPr>
          <w:trHeight w:val="80"/>
        </w:trPr>
        <w:tc>
          <w:tcPr>
            <w:tcW w:w="2702" w:type="dxa"/>
            <w:gridSpan w:val="2"/>
            <w:shd w:val="clear" w:color="000000" w:fill="FFFFFF"/>
            <w:noWrap/>
            <w:vAlign w:val="bottom"/>
            <w:hideMark/>
          </w:tcPr>
          <w:p w14:paraId="61228BD5" w14:textId="77777777" w:rsidR="00D240E2" w:rsidRPr="00C80F8E" w:rsidRDefault="00D240E2" w:rsidP="00527E73">
            <w:pPr>
              <w:rPr>
                <w:rFonts w:cstheme="minorHAnsi"/>
                <w:color w:val="000000"/>
                <w:sz w:val="20"/>
                <w:szCs w:val="20"/>
                <w:lang w:val="es-ES_tradnl"/>
              </w:rPr>
            </w:pPr>
            <w:r w:rsidRPr="00C80F8E">
              <w:rPr>
                <w:rFonts w:cstheme="minorHAnsi"/>
                <w:color w:val="000000"/>
                <w:sz w:val="20"/>
                <w:szCs w:val="20"/>
                <w:lang w:val="es-ES_tradnl"/>
              </w:rPr>
              <w:t>Totales CF Vigentes (RD$)</w:t>
            </w:r>
          </w:p>
        </w:tc>
        <w:tc>
          <w:tcPr>
            <w:tcW w:w="827" w:type="dxa"/>
            <w:shd w:val="clear" w:color="000000" w:fill="FFFFFF"/>
          </w:tcPr>
          <w:p w14:paraId="5B87B802" w14:textId="77777777" w:rsidR="00D240E2" w:rsidRPr="00C80F8E" w:rsidRDefault="00D240E2" w:rsidP="00527E73">
            <w:pPr>
              <w:jc w:val="center"/>
              <w:rPr>
                <w:rFonts w:cstheme="minorHAnsi"/>
                <w:color w:val="000000"/>
                <w:sz w:val="20"/>
                <w:szCs w:val="20"/>
                <w:lang w:val="es-ES_tradnl"/>
              </w:rPr>
            </w:pPr>
          </w:p>
        </w:tc>
        <w:tc>
          <w:tcPr>
            <w:tcW w:w="847" w:type="dxa"/>
            <w:shd w:val="clear" w:color="000000" w:fill="FFFFFF"/>
            <w:vAlign w:val="bottom"/>
          </w:tcPr>
          <w:p w14:paraId="055B5C59" w14:textId="0FB2DAFC" w:rsidR="00D240E2" w:rsidRPr="00C80F8E" w:rsidRDefault="00D240E2" w:rsidP="00527E73">
            <w:pPr>
              <w:jc w:val="center"/>
              <w:rPr>
                <w:rFonts w:cstheme="minorHAnsi"/>
                <w:color w:val="000000"/>
                <w:sz w:val="20"/>
                <w:szCs w:val="20"/>
                <w:lang w:val="es-ES_tradnl"/>
              </w:rPr>
            </w:pPr>
          </w:p>
        </w:tc>
        <w:tc>
          <w:tcPr>
            <w:tcW w:w="1577" w:type="dxa"/>
            <w:tcBorders>
              <w:top w:val="single" w:sz="12" w:space="0" w:color="auto"/>
              <w:bottom w:val="double" w:sz="4" w:space="0" w:color="auto"/>
              <w:right w:val="single" w:sz="12" w:space="0" w:color="auto"/>
            </w:tcBorders>
            <w:shd w:val="clear" w:color="000000" w:fill="FFFFFF"/>
            <w:noWrap/>
            <w:vAlign w:val="bottom"/>
            <w:hideMark/>
          </w:tcPr>
          <w:p w14:paraId="1CF28060"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90,000,000.00</w:t>
            </w:r>
          </w:p>
        </w:tc>
        <w:tc>
          <w:tcPr>
            <w:tcW w:w="1670" w:type="dxa"/>
            <w:tcBorders>
              <w:top w:val="single" w:sz="12" w:space="0" w:color="auto"/>
              <w:left w:val="single" w:sz="12" w:space="0" w:color="auto"/>
              <w:bottom w:val="double" w:sz="4" w:space="0" w:color="auto"/>
            </w:tcBorders>
            <w:shd w:val="clear" w:color="000000" w:fill="FFFFFF"/>
            <w:noWrap/>
            <w:vAlign w:val="bottom"/>
            <w:hideMark/>
          </w:tcPr>
          <w:p w14:paraId="1E33A5A3"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 xml:space="preserve">3,821,699.49 </w:t>
            </w:r>
          </w:p>
        </w:tc>
        <w:tc>
          <w:tcPr>
            <w:tcW w:w="1707" w:type="dxa"/>
            <w:tcBorders>
              <w:top w:val="single" w:sz="12" w:space="0" w:color="auto"/>
              <w:bottom w:val="double" w:sz="4" w:space="0" w:color="auto"/>
            </w:tcBorders>
            <w:shd w:val="clear" w:color="000000" w:fill="FFFFFF"/>
            <w:noWrap/>
            <w:vAlign w:val="bottom"/>
            <w:hideMark/>
          </w:tcPr>
          <w:p w14:paraId="3E6631FC" w14:textId="77777777" w:rsidR="00D240E2" w:rsidRPr="00C80F8E" w:rsidRDefault="00D240E2" w:rsidP="005E40D9">
            <w:pPr>
              <w:jc w:val="right"/>
              <w:rPr>
                <w:rFonts w:cstheme="minorHAnsi"/>
                <w:color w:val="000000"/>
                <w:sz w:val="20"/>
                <w:szCs w:val="20"/>
                <w:lang w:val="es-ES_tradnl"/>
              </w:rPr>
            </w:pPr>
            <w:r w:rsidRPr="00C80F8E">
              <w:rPr>
                <w:rFonts w:cstheme="minorHAnsi"/>
                <w:color w:val="000000"/>
                <w:sz w:val="20"/>
                <w:szCs w:val="20"/>
                <w:lang w:val="es-ES_tradnl"/>
              </w:rPr>
              <w:t xml:space="preserve">  93,821,699.49 </w:t>
            </w:r>
          </w:p>
        </w:tc>
      </w:tr>
    </w:tbl>
    <w:p w14:paraId="395BA487" w14:textId="77777777" w:rsidR="000B420E" w:rsidRPr="00C80F8E" w:rsidRDefault="000B420E" w:rsidP="00BF487F">
      <w:pPr>
        <w:spacing w:line="240" w:lineRule="auto"/>
        <w:contextualSpacing/>
        <w:jc w:val="both"/>
        <w:rPr>
          <w:rFonts w:ascii="Abadi" w:hAnsi="Abadi" w:cstheme="minorHAnsi"/>
          <w:b/>
          <w:bCs/>
          <w:iCs/>
          <w:color w:val="000000"/>
          <w:sz w:val="16"/>
          <w:szCs w:val="16"/>
          <w:lang w:val="es-ES_tradnl"/>
        </w:rPr>
      </w:pPr>
    </w:p>
    <w:p w14:paraId="47D4ADA6" w14:textId="77777777" w:rsidR="00B34FEA" w:rsidRPr="00C80F8E" w:rsidRDefault="00B34FEA" w:rsidP="00CD1D2E">
      <w:pPr>
        <w:spacing w:line="240" w:lineRule="auto"/>
        <w:contextualSpacing/>
        <w:jc w:val="both"/>
        <w:rPr>
          <w:rFonts w:ascii="Abadi" w:hAnsi="Abadi" w:cstheme="minorHAnsi"/>
          <w:b/>
          <w:bCs/>
          <w:iCs/>
          <w:sz w:val="20"/>
          <w:szCs w:val="20"/>
          <w:lang w:val="es-ES_tradnl"/>
        </w:rPr>
      </w:pPr>
    </w:p>
    <w:p w14:paraId="4ED16124" w14:textId="7521BF0D" w:rsidR="002459C2" w:rsidRPr="00C80F8E" w:rsidRDefault="00BA6052" w:rsidP="00CD1D2E">
      <w:pPr>
        <w:spacing w:line="240" w:lineRule="auto"/>
        <w:contextualSpacing/>
        <w:jc w:val="both"/>
        <w:rPr>
          <w:rFonts w:ascii="Abadi" w:hAnsi="Abadi" w:cstheme="minorHAnsi"/>
          <w:b/>
          <w:sz w:val="20"/>
          <w:szCs w:val="20"/>
          <w:lang w:val="es-ES_tradnl"/>
        </w:rPr>
      </w:pPr>
      <w:r w:rsidRPr="00C80F8E">
        <w:rPr>
          <w:rFonts w:ascii="Abadi" w:hAnsi="Abadi" w:cstheme="minorHAnsi"/>
          <w:b/>
          <w:sz w:val="20"/>
          <w:szCs w:val="20"/>
          <w:lang w:val="es-ES_tradnl"/>
        </w:rPr>
        <w:t>Para el 2024</w:t>
      </w:r>
    </w:p>
    <w:p w14:paraId="063AE2D2" w14:textId="77777777" w:rsidR="00BA6052" w:rsidRPr="00C80F8E" w:rsidRDefault="00BA6052" w:rsidP="00CD1D2E">
      <w:pPr>
        <w:spacing w:line="240" w:lineRule="auto"/>
        <w:contextualSpacing/>
        <w:jc w:val="both"/>
        <w:rPr>
          <w:rFonts w:ascii="Abadi" w:hAnsi="Abadi" w:cstheme="minorHAnsi"/>
          <w:b/>
          <w:sz w:val="20"/>
          <w:szCs w:val="20"/>
          <w:lang w:val="es-ES_tradnl"/>
        </w:rPr>
      </w:pPr>
    </w:p>
    <w:p w14:paraId="4B348B73" w14:textId="77777777" w:rsidR="007358EA" w:rsidRPr="00C80F8E" w:rsidRDefault="007358EA" w:rsidP="00E408F3">
      <w:pPr>
        <w:spacing w:line="240" w:lineRule="auto"/>
        <w:contextualSpacing/>
        <w:jc w:val="both"/>
        <w:rPr>
          <w:rFonts w:ascii="Abadi" w:hAnsi="Abadi"/>
          <w:b/>
          <w:bCs/>
          <w:iCs/>
          <w:lang w:val="es-ES_tradnl"/>
        </w:rPr>
      </w:pPr>
      <w:r w:rsidRPr="00C80F8E">
        <w:rPr>
          <w:rFonts w:ascii="Abadi" w:hAnsi="Abadi"/>
          <w:b/>
          <w:bCs/>
          <w:iCs/>
          <w:color w:val="000000"/>
          <w:lang w:val="es-ES_tradnl"/>
        </w:rPr>
        <w:t xml:space="preserve">Banco de Reservas                                               </w:t>
      </w:r>
    </w:p>
    <w:tbl>
      <w:tblPr>
        <w:tblW w:w="927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73"/>
        <w:gridCol w:w="1306"/>
        <w:gridCol w:w="850"/>
        <w:gridCol w:w="850"/>
        <w:gridCol w:w="1270"/>
        <w:gridCol w:w="1794"/>
        <w:gridCol w:w="1834"/>
      </w:tblGrid>
      <w:tr w:rsidR="00696CBC" w:rsidRPr="00C80F8E" w14:paraId="24CAFE99" w14:textId="77777777" w:rsidTr="001672FC">
        <w:trPr>
          <w:trHeight w:val="68"/>
        </w:trPr>
        <w:tc>
          <w:tcPr>
            <w:tcW w:w="1373" w:type="dxa"/>
            <w:tcBorders>
              <w:top w:val="single" w:sz="12" w:space="0" w:color="auto"/>
              <w:bottom w:val="single" w:sz="8" w:space="0" w:color="auto"/>
            </w:tcBorders>
            <w:shd w:val="clear" w:color="000000" w:fill="0070C0"/>
            <w:vAlign w:val="bottom"/>
            <w:hideMark/>
          </w:tcPr>
          <w:p w14:paraId="6597230D"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Fecha</w:t>
            </w:r>
          </w:p>
        </w:tc>
        <w:tc>
          <w:tcPr>
            <w:tcW w:w="1306" w:type="dxa"/>
            <w:tcBorders>
              <w:top w:val="single" w:sz="12" w:space="0" w:color="auto"/>
              <w:bottom w:val="single" w:sz="8" w:space="0" w:color="auto"/>
            </w:tcBorders>
            <w:shd w:val="clear" w:color="000000" w:fill="0070C0"/>
            <w:vAlign w:val="bottom"/>
            <w:hideMark/>
          </w:tcPr>
          <w:p w14:paraId="7228941E"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Descripción</w:t>
            </w:r>
          </w:p>
        </w:tc>
        <w:tc>
          <w:tcPr>
            <w:tcW w:w="850" w:type="dxa"/>
            <w:tcBorders>
              <w:top w:val="single" w:sz="12" w:space="0" w:color="auto"/>
              <w:bottom w:val="single" w:sz="8" w:space="0" w:color="auto"/>
            </w:tcBorders>
            <w:shd w:val="clear" w:color="000000" w:fill="0070C0"/>
            <w:vAlign w:val="bottom"/>
          </w:tcPr>
          <w:p w14:paraId="19C74068"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 xml:space="preserve">Tasa </w:t>
            </w:r>
            <w:proofErr w:type="spellStart"/>
            <w:r w:rsidRPr="00C80F8E">
              <w:rPr>
                <w:rFonts w:cstheme="minorHAnsi"/>
                <w:color w:val="FFFFFF"/>
                <w:sz w:val="18"/>
                <w:szCs w:val="18"/>
                <w:lang w:val="es-ES_tradnl"/>
              </w:rPr>
              <w:t>Interes</w:t>
            </w:r>
            <w:proofErr w:type="spellEnd"/>
          </w:p>
        </w:tc>
        <w:tc>
          <w:tcPr>
            <w:tcW w:w="851" w:type="dxa"/>
            <w:tcBorders>
              <w:top w:val="single" w:sz="12" w:space="0" w:color="auto"/>
              <w:bottom w:val="single" w:sz="8" w:space="0" w:color="auto"/>
            </w:tcBorders>
            <w:shd w:val="clear" w:color="000000" w:fill="0070C0"/>
            <w:vAlign w:val="bottom"/>
          </w:tcPr>
          <w:p w14:paraId="0BFE92DA"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Plazo</w:t>
            </w:r>
          </w:p>
        </w:tc>
        <w:tc>
          <w:tcPr>
            <w:tcW w:w="1269" w:type="dxa"/>
            <w:tcBorders>
              <w:top w:val="single" w:sz="12" w:space="0" w:color="auto"/>
              <w:bottom w:val="single" w:sz="8" w:space="0" w:color="auto"/>
            </w:tcBorders>
            <w:shd w:val="clear" w:color="000000" w:fill="0070C0"/>
            <w:vAlign w:val="bottom"/>
            <w:hideMark/>
          </w:tcPr>
          <w:p w14:paraId="40546A18"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Monto</w:t>
            </w:r>
          </w:p>
          <w:p w14:paraId="0176FDB4"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Nominal</w:t>
            </w:r>
          </w:p>
        </w:tc>
        <w:tc>
          <w:tcPr>
            <w:tcW w:w="1794" w:type="dxa"/>
            <w:tcBorders>
              <w:top w:val="single" w:sz="12" w:space="0" w:color="auto"/>
              <w:bottom w:val="single" w:sz="8" w:space="0" w:color="auto"/>
            </w:tcBorders>
            <w:shd w:val="clear" w:color="000000" w:fill="0070C0"/>
            <w:vAlign w:val="bottom"/>
            <w:hideMark/>
          </w:tcPr>
          <w:p w14:paraId="4CEF93D8"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Intereses Ganados</w:t>
            </w:r>
          </w:p>
        </w:tc>
        <w:tc>
          <w:tcPr>
            <w:tcW w:w="1834" w:type="dxa"/>
            <w:tcBorders>
              <w:top w:val="single" w:sz="12" w:space="0" w:color="auto"/>
              <w:bottom w:val="single" w:sz="8" w:space="0" w:color="auto"/>
            </w:tcBorders>
            <w:shd w:val="clear" w:color="000000" w:fill="0070C0"/>
            <w:vAlign w:val="bottom"/>
            <w:hideMark/>
          </w:tcPr>
          <w:p w14:paraId="1E079AD1" w14:textId="77777777" w:rsidR="00931EFC" w:rsidRPr="00C80F8E" w:rsidRDefault="00931EFC" w:rsidP="00FD7CA2">
            <w:pPr>
              <w:jc w:val="center"/>
              <w:rPr>
                <w:rFonts w:cstheme="minorHAnsi"/>
                <w:color w:val="FFFFFF"/>
                <w:sz w:val="18"/>
                <w:szCs w:val="18"/>
                <w:lang w:val="es-ES_tradnl"/>
              </w:rPr>
            </w:pPr>
            <w:r w:rsidRPr="00C80F8E">
              <w:rPr>
                <w:rFonts w:cstheme="minorHAnsi"/>
                <w:color w:val="FFFFFF"/>
                <w:sz w:val="18"/>
                <w:szCs w:val="18"/>
                <w:lang w:val="es-ES_tradnl"/>
              </w:rPr>
              <w:t>Monto Capitalizado</w:t>
            </w:r>
          </w:p>
        </w:tc>
      </w:tr>
      <w:tr w:rsidR="000D5FD2" w:rsidRPr="00C80F8E" w14:paraId="711750BC" w14:textId="77777777" w:rsidTr="001672FC">
        <w:trPr>
          <w:trHeight w:val="40"/>
        </w:trPr>
        <w:tc>
          <w:tcPr>
            <w:tcW w:w="1373" w:type="dxa"/>
            <w:tcBorders>
              <w:top w:val="single" w:sz="8" w:space="0" w:color="auto"/>
            </w:tcBorders>
            <w:noWrap/>
            <w:vAlign w:val="bottom"/>
            <w:hideMark/>
          </w:tcPr>
          <w:p w14:paraId="1A95EFAD" w14:textId="5B5E0904" w:rsidR="000D5FD2" w:rsidRPr="00C80F8E" w:rsidRDefault="000D5FD2" w:rsidP="000D5FD2">
            <w:pPr>
              <w:rPr>
                <w:rFonts w:cstheme="minorHAnsi"/>
                <w:sz w:val="18"/>
                <w:szCs w:val="18"/>
                <w:lang w:val="es-ES_tradnl"/>
              </w:rPr>
            </w:pPr>
            <w:r w:rsidRPr="00C80F8E">
              <w:rPr>
                <w:rFonts w:cstheme="minorHAnsi"/>
                <w:sz w:val="18"/>
                <w:szCs w:val="18"/>
                <w:lang w:val="es-ES_tradnl"/>
              </w:rPr>
              <w:t>01/11/2023</w:t>
            </w:r>
          </w:p>
        </w:tc>
        <w:tc>
          <w:tcPr>
            <w:tcW w:w="1306" w:type="dxa"/>
            <w:tcBorders>
              <w:top w:val="single" w:sz="8" w:space="0" w:color="auto"/>
            </w:tcBorders>
            <w:noWrap/>
            <w:vAlign w:val="bottom"/>
            <w:hideMark/>
          </w:tcPr>
          <w:p w14:paraId="05188D41" w14:textId="50C00D50" w:rsidR="000D5FD2" w:rsidRPr="00C80F8E" w:rsidRDefault="000D5FD2" w:rsidP="000D5FD2">
            <w:pPr>
              <w:rPr>
                <w:rFonts w:cstheme="minorHAnsi"/>
                <w:sz w:val="18"/>
                <w:szCs w:val="18"/>
                <w:lang w:val="es-ES_tradnl"/>
              </w:rPr>
            </w:pPr>
            <w:r w:rsidRPr="00C80F8E">
              <w:rPr>
                <w:rFonts w:cstheme="minorHAnsi"/>
                <w:sz w:val="18"/>
                <w:szCs w:val="18"/>
                <w:lang w:val="es-ES_tradnl"/>
              </w:rPr>
              <w:t>9606402092</w:t>
            </w:r>
          </w:p>
        </w:tc>
        <w:tc>
          <w:tcPr>
            <w:tcW w:w="850" w:type="dxa"/>
            <w:tcBorders>
              <w:top w:val="single" w:sz="8" w:space="0" w:color="auto"/>
            </w:tcBorders>
            <w:vAlign w:val="bottom"/>
          </w:tcPr>
          <w:p w14:paraId="19EF9C15" w14:textId="72CB851C"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10.00%</w:t>
            </w:r>
          </w:p>
        </w:tc>
        <w:tc>
          <w:tcPr>
            <w:tcW w:w="851" w:type="dxa"/>
            <w:tcBorders>
              <w:top w:val="single" w:sz="8" w:space="0" w:color="auto"/>
            </w:tcBorders>
            <w:vAlign w:val="bottom"/>
          </w:tcPr>
          <w:p w14:paraId="18437E37" w14:textId="19A38424" w:rsidR="000D5FD2" w:rsidRPr="00C80F8E" w:rsidRDefault="000D5FD2" w:rsidP="000D5FD2">
            <w:pPr>
              <w:rPr>
                <w:rFonts w:cstheme="minorHAnsi"/>
                <w:color w:val="000000"/>
                <w:sz w:val="18"/>
                <w:szCs w:val="18"/>
                <w:lang w:val="es-ES_tradnl"/>
              </w:rPr>
            </w:pPr>
            <w:r w:rsidRPr="00C80F8E">
              <w:rPr>
                <w:rFonts w:cstheme="minorHAnsi"/>
                <w:sz w:val="18"/>
                <w:szCs w:val="18"/>
                <w:lang w:val="es-ES_tradnl"/>
              </w:rPr>
              <w:t>60 días</w:t>
            </w:r>
          </w:p>
        </w:tc>
        <w:tc>
          <w:tcPr>
            <w:tcW w:w="1269" w:type="dxa"/>
            <w:tcBorders>
              <w:top w:val="single" w:sz="8" w:space="0" w:color="auto"/>
            </w:tcBorders>
            <w:noWrap/>
            <w:vAlign w:val="bottom"/>
            <w:hideMark/>
          </w:tcPr>
          <w:p w14:paraId="704DBA60" w14:textId="79DE69EE"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7,886,636.64 </w:t>
            </w:r>
          </w:p>
        </w:tc>
        <w:tc>
          <w:tcPr>
            <w:tcW w:w="1794" w:type="dxa"/>
            <w:tcBorders>
              <w:top w:val="single" w:sz="8" w:space="0" w:color="auto"/>
            </w:tcBorders>
            <w:noWrap/>
            <w:vAlign w:val="bottom"/>
            <w:hideMark/>
          </w:tcPr>
          <w:p w14:paraId="70F3F021" w14:textId="44D4F39B"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65,721.97 </w:t>
            </w:r>
          </w:p>
        </w:tc>
        <w:tc>
          <w:tcPr>
            <w:tcW w:w="1834" w:type="dxa"/>
            <w:tcBorders>
              <w:top w:val="single" w:sz="8" w:space="0" w:color="auto"/>
            </w:tcBorders>
            <w:noWrap/>
            <w:vAlign w:val="bottom"/>
          </w:tcPr>
          <w:p w14:paraId="59501A8C" w14:textId="1F4ABE5B" w:rsidR="000D5FD2" w:rsidRPr="00C80F8E" w:rsidRDefault="00EB3BDA" w:rsidP="000D5FD2">
            <w:pPr>
              <w:jc w:val="right"/>
              <w:rPr>
                <w:rFonts w:cstheme="minorHAnsi"/>
                <w:color w:val="000000"/>
                <w:sz w:val="18"/>
                <w:szCs w:val="18"/>
                <w:lang w:val="es-ES_tradnl"/>
              </w:rPr>
            </w:pPr>
            <w:r w:rsidRPr="00C80F8E">
              <w:rPr>
                <w:rFonts w:cstheme="minorHAnsi"/>
                <w:color w:val="000000"/>
                <w:sz w:val="18"/>
                <w:szCs w:val="18"/>
                <w:lang w:val="es-ES_tradnl"/>
              </w:rPr>
              <w:t>7</w:t>
            </w:r>
            <w:r w:rsidR="004918F9" w:rsidRPr="00C80F8E">
              <w:rPr>
                <w:rFonts w:cstheme="minorHAnsi"/>
                <w:color w:val="000000"/>
                <w:sz w:val="18"/>
                <w:szCs w:val="18"/>
                <w:lang w:val="es-ES_tradnl"/>
              </w:rPr>
              <w:t>,</w:t>
            </w:r>
            <w:r w:rsidRPr="00C80F8E">
              <w:rPr>
                <w:rFonts w:cstheme="minorHAnsi"/>
                <w:color w:val="000000"/>
                <w:sz w:val="18"/>
                <w:szCs w:val="18"/>
                <w:lang w:val="es-ES_tradnl"/>
              </w:rPr>
              <w:t>952</w:t>
            </w:r>
            <w:r w:rsidR="004918F9" w:rsidRPr="00C80F8E">
              <w:rPr>
                <w:rFonts w:cstheme="minorHAnsi"/>
                <w:color w:val="000000"/>
                <w:sz w:val="18"/>
                <w:szCs w:val="18"/>
                <w:lang w:val="es-ES_tradnl"/>
              </w:rPr>
              <w:t>,</w:t>
            </w:r>
            <w:r w:rsidRPr="00C80F8E">
              <w:rPr>
                <w:rFonts w:cstheme="minorHAnsi"/>
                <w:color w:val="000000"/>
                <w:sz w:val="18"/>
                <w:szCs w:val="18"/>
                <w:lang w:val="es-ES_tradnl"/>
              </w:rPr>
              <w:t>358.61</w:t>
            </w:r>
          </w:p>
        </w:tc>
      </w:tr>
      <w:tr w:rsidR="000D5FD2" w:rsidRPr="00C80F8E" w14:paraId="33308C0F" w14:textId="77777777" w:rsidTr="006B0435">
        <w:trPr>
          <w:trHeight w:val="57"/>
        </w:trPr>
        <w:tc>
          <w:tcPr>
            <w:tcW w:w="1373" w:type="dxa"/>
            <w:noWrap/>
            <w:vAlign w:val="bottom"/>
          </w:tcPr>
          <w:p w14:paraId="2681415F" w14:textId="0EA3D59A" w:rsidR="000D5FD2" w:rsidRPr="00C80F8E" w:rsidRDefault="000D5FD2" w:rsidP="000D5FD2">
            <w:pPr>
              <w:rPr>
                <w:rFonts w:cstheme="minorHAnsi"/>
                <w:sz w:val="18"/>
                <w:szCs w:val="18"/>
                <w:lang w:val="es-ES_tradnl"/>
              </w:rPr>
            </w:pPr>
            <w:r w:rsidRPr="00C80F8E">
              <w:rPr>
                <w:rFonts w:cstheme="minorHAnsi"/>
                <w:sz w:val="18"/>
                <w:szCs w:val="18"/>
                <w:lang w:val="es-ES_tradnl"/>
              </w:rPr>
              <w:t>01/11/2023</w:t>
            </w:r>
          </w:p>
        </w:tc>
        <w:tc>
          <w:tcPr>
            <w:tcW w:w="1306" w:type="dxa"/>
            <w:noWrap/>
            <w:vAlign w:val="bottom"/>
          </w:tcPr>
          <w:p w14:paraId="47B5A3C4" w14:textId="23E2D069" w:rsidR="000D5FD2" w:rsidRPr="00C80F8E" w:rsidRDefault="000D5FD2" w:rsidP="000D5FD2">
            <w:pPr>
              <w:rPr>
                <w:rFonts w:cstheme="minorHAnsi"/>
                <w:sz w:val="18"/>
                <w:szCs w:val="18"/>
                <w:lang w:val="es-ES_tradnl"/>
              </w:rPr>
            </w:pPr>
            <w:r w:rsidRPr="00C80F8E">
              <w:rPr>
                <w:rFonts w:cstheme="minorHAnsi"/>
                <w:sz w:val="18"/>
                <w:szCs w:val="18"/>
                <w:lang w:val="es-ES_tradnl"/>
              </w:rPr>
              <w:t>9606402101</w:t>
            </w:r>
          </w:p>
        </w:tc>
        <w:tc>
          <w:tcPr>
            <w:tcW w:w="850" w:type="dxa"/>
            <w:vAlign w:val="bottom"/>
          </w:tcPr>
          <w:p w14:paraId="1E587045" w14:textId="4F620803"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10.00%</w:t>
            </w:r>
          </w:p>
        </w:tc>
        <w:tc>
          <w:tcPr>
            <w:tcW w:w="851" w:type="dxa"/>
            <w:vAlign w:val="bottom"/>
          </w:tcPr>
          <w:p w14:paraId="41D7C748" w14:textId="14EDF779" w:rsidR="000D5FD2" w:rsidRPr="00C80F8E" w:rsidRDefault="000D5FD2" w:rsidP="000D5FD2">
            <w:pPr>
              <w:rPr>
                <w:rFonts w:cstheme="minorHAnsi"/>
                <w:color w:val="000000"/>
                <w:sz w:val="18"/>
                <w:szCs w:val="18"/>
                <w:lang w:val="es-ES_tradnl"/>
              </w:rPr>
            </w:pPr>
            <w:r w:rsidRPr="00C80F8E">
              <w:rPr>
                <w:rFonts w:cstheme="minorHAnsi"/>
                <w:sz w:val="18"/>
                <w:szCs w:val="18"/>
                <w:lang w:val="es-ES_tradnl"/>
              </w:rPr>
              <w:t>60 días</w:t>
            </w:r>
          </w:p>
        </w:tc>
        <w:tc>
          <w:tcPr>
            <w:tcW w:w="1269" w:type="dxa"/>
            <w:noWrap/>
            <w:vAlign w:val="bottom"/>
          </w:tcPr>
          <w:p w14:paraId="0E04E230" w14:textId="6EF011B4"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9,013,299.02 </w:t>
            </w:r>
          </w:p>
        </w:tc>
        <w:tc>
          <w:tcPr>
            <w:tcW w:w="1794" w:type="dxa"/>
            <w:noWrap/>
            <w:vAlign w:val="bottom"/>
          </w:tcPr>
          <w:p w14:paraId="6C65F46C" w14:textId="38925B4C"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75,110.83 </w:t>
            </w:r>
          </w:p>
        </w:tc>
        <w:tc>
          <w:tcPr>
            <w:tcW w:w="1834" w:type="dxa"/>
            <w:noWrap/>
            <w:vAlign w:val="bottom"/>
          </w:tcPr>
          <w:p w14:paraId="1E5EBACA" w14:textId="621810B3" w:rsidR="000D5FD2" w:rsidRPr="00C80F8E" w:rsidRDefault="004918F9" w:rsidP="000D5FD2">
            <w:pPr>
              <w:jc w:val="right"/>
              <w:rPr>
                <w:rFonts w:cstheme="minorHAnsi"/>
                <w:color w:val="000000"/>
                <w:sz w:val="18"/>
                <w:szCs w:val="18"/>
                <w:lang w:val="es-ES_tradnl"/>
              </w:rPr>
            </w:pPr>
            <w:r w:rsidRPr="00C80F8E">
              <w:rPr>
                <w:rFonts w:cstheme="minorHAnsi"/>
                <w:color w:val="000000"/>
                <w:sz w:val="18"/>
                <w:szCs w:val="18"/>
                <w:lang w:val="es-ES_tradnl"/>
              </w:rPr>
              <w:t>9,088,409.84</w:t>
            </w:r>
          </w:p>
        </w:tc>
      </w:tr>
      <w:tr w:rsidR="000D5FD2" w:rsidRPr="00C80F8E" w14:paraId="0506158E" w14:textId="77777777" w:rsidTr="006B0435">
        <w:trPr>
          <w:trHeight w:val="399"/>
        </w:trPr>
        <w:tc>
          <w:tcPr>
            <w:tcW w:w="1373" w:type="dxa"/>
            <w:noWrap/>
            <w:vAlign w:val="bottom"/>
          </w:tcPr>
          <w:p w14:paraId="6879E986" w14:textId="695E12EA" w:rsidR="000D5FD2" w:rsidRPr="00C80F8E" w:rsidRDefault="000D5FD2" w:rsidP="000D5FD2">
            <w:pPr>
              <w:rPr>
                <w:rFonts w:cstheme="minorHAnsi"/>
                <w:sz w:val="18"/>
                <w:szCs w:val="18"/>
                <w:lang w:val="es-ES_tradnl"/>
              </w:rPr>
            </w:pPr>
            <w:r w:rsidRPr="00C80F8E">
              <w:rPr>
                <w:rFonts w:cstheme="minorHAnsi"/>
                <w:sz w:val="18"/>
                <w:szCs w:val="18"/>
                <w:lang w:val="es-ES_tradnl"/>
              </w:rPr>
              <w:t>26/03/2024</w:t>
            </w:r>
          </w:p>
        </w:tc>
        <w:tc>
          <w:tcPr>
            <w:tcW w:w="1306" w:type="dxa"/>
            <w:noWrap/>
            <w:vAlign w:val="bottom"/>
          </w:tcPr>
          <w:p w14:paraId="28009DDC" w14:textId="36E45E92" w:rsidR="000D5FD2" w:rsidRPr="00C80F8E" w:rsidRDefault="000D5FD2" w:rsidP="000D5FD2">
            <w:pPr>
              <w:rPr>
                <w:rFonts w:cstheme="minorHAnsi"/>
                <w:sz w:val="18"/>
                <w:szCs w:val="18"/>
                <w:lang w:val="es-ES_tradnl"/>
              </w:rPr>
            </w:pPr>
            <w:r w:rsidRPr="00C80F8E">
              <w:rPr>
                <w:rFonts w:cstheme="minorHAnsi"/>
                <w:sz w:val="18"/>
                <w:szCs w:val="18"/>
                <w:lang w:val="es-ES_tradnl"/>
              </w:rPr>
              <w:t>9606921427</w:t>
            </w:r>
          </w:p>
        </w:tc>
        <w:tc>
          <w:tcPr>
            <w:tcW w:w="850" w:type="dxa"/>
            <w:vAlign w:val="bottom"/>
          </w:tcPr>
          <w:p w14:paraId="3AB4D524" w14:textId="720CD8A2"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11.00%</w:t>
            </w:r>
          </w:p>
        </w:tc>
        <w:tc>
          <w:tcPr>
            <w:tcW w:w="851" w:type="dxa"/>
            <w:vAlign w:val="bottom"/>
          </w:tcPr>
          <w:p w14:paraId="4661A636" w14:textId="2E94BA90" w:rsidR="000D5FD2" w:rsidRPr="00C80F8E" w:rsidRDefault="000D5FD2" w:rsidP="000D5FD2">
            <w:pPr>
              <w:rPr>
                <w:rFonts w:cstheme="minorHAnsi"/>
                <w:color w:val="000000"/>
                <w:sz w:val="18"/>
                <w:szCs w:val="18"/>
                <w:lang w:val="es-ES_tradnl"/>
              </w:rPr>
            </w:pPr>
            <w:r w:rsidRPr="00C80F8E">
              <w:rPr>
                <w:rFonts w:cstheme="minorHAnsi"/>
                <w:sz w:val="18"/>
                <w:szCs w:val="18"/>
                <w:lang w:val="es-ES_tradnl"/>
              </w:rPr>
              <w:t>90 Días</w:t>
            </w:r>
          </w:p>
        </w:tc>
        <w:tc>
          <w:tcPr>
            <w:tcW w:w="1269" w:type="dxa"/>
            <w:tcBorders>
              <w:bottom w:val="single" w:sz="4" w:space="0" w:color="auto"/>
              <w:right w:val="single" w:sz="4" w:space="0" w:color="auto"/>
            </w:tcBorders>
            <w:noWrap/>
            <w:vAlign w:val="bottom"/>
          </w:tcPr>
          <w:p w14:paraId="2B32412E" w14:textId="36D8C2AC"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20,368,347.22 </w:t>
            </w:r>
          </w:p>
        </w:tc>
        <w:tc>
          <w:tcPr>
            <w:tcW w:w="1794" w:type="dxa"/>
            <w:tcBorders>
              <w:left w:val="single" w:sz="4" w:space="0" w:color="auto"/>
              <w:bottom w:val="single" w:sz="4" w:space="0" w:color="auto"/>
            </w:tcBorders>
            <w:noWrap/>
            <w:vAlign w:val="bottom"/>
          </w:tcPr>
          <w:p w14:paraId="41FB5A34" w14:textId="61C55237"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186,709.85 </w:t>
            </w:r>
          </w:p>
        </w:tc>
        <w:tc>
          <w:tcPr>
            <w:tcW w:w="1834" w:type="dxa"/>
            <w:tcBorders>
              <w:bottom w:val="single" w:sz="4" w:space="0" w:color="auto"/>
            </w:tcBorders>
            <w:noWrap/>
            <w:vAlign w:val="bottom"/>
          </w:tcPr>
          <w:p w14:paraId="62C04438" w14:textId="4CE1BD7E" w:rsidR="000D5FD2" w:rsidRPr="00C80F8E" w:rsidRDefault="004E5BB9" w:rsidP="000D5FD2">
            <w:pPr>
              <w:jc w:val="right"/>
              <w:rPr>
                <w:rFonts w:cstheme="minorHAnsi"/>
                <w:color w:val="000000"/>
                <w:sz w:val="18"/>
                <w:szCs w:val="18"/>
                <w:lang w:val="es-ES_tradnl"/>
              </w:rPr>
            </w:pPr>
            <w:r w:rsidRPr="00C80F8E">
              <w:rPr>
                <w:rFonts w:cstheme="minorHAnsi"/>
                <w:color w:val="000000"/>
                <w:sz w:val="18"/>
                <w:szCs w:val="18"/>
                <w:lang w:val="es-ES_tradnl"/>
              </w:rPr>
              <w:t>20,555,057.07</w:t>
            </w:r>
          </w:p>
        </w:tc>
      </w:tr>
      <w:tr w:rsidR="000D5FD2" w:rsidRPr="00C80F8E" w14:paraId="44FDA2ED" w14:textId="77777777" w:rsidTr="006B0435">
        <w:trPr>
          <w:trHeight w:val="57"/>
        </w:trPr>
        <w:tc>
          <w:tcPr>
            <w:tcW w:w="1373" w:type="dxa"/>
            <w:noWrap/>
            <w:vAlign w:val="bottom"/>
          </w:tcPr>
          <w:p w14:paraId="3044B239" w14:textId="43968F13" w:rsidR="000D5FD2" w:rsidRPr="00C80F8E" w:rsidRDefault="000D5FD2" w:rsidP="000D5FD2">
            <w:pPr>
              <w:rPr>
                <w:rFonts w:cstheme="minorHAnsi"/>
                <w:sz w:val="18"/>
                <w:szCs w:val="18"/>
                <w:lang w:val="es-ES_tradnl"/>
              </w:rPr>
            </w:pPr>
            <w:r w:rsidRPr="00C80F8E">
              <w:rPr>
                <w:rFonts w:cstheme="minorHAnsi"/>
                <w:sz w:val="18"/>
                <w:szCs w:val="18"/>
                <w:lang w:val="es-ES_tradnl"/>
              </w:rPr>
              <w:lastRenderedPageBreak/>
              <w:t>19/04/2024</w:t>
            </w:r>
          </w:p>
        </w:tc>
        <w:tc>
          <w:tcPr>
            <w:tcW w:w="1306" w:type="dxa"/>
            <w:noWrap/>
            <w:vAlign w:val="bottom"/>
          </w:tcPr>
          <w:p w14:paraId="5676064E" w14:textId="01FB9E8D" w:rsidR="000D5FD2" w:rsidRPr="00C80F8E" w:rsidRDefault="000D5FD2" w:rsidP="000D5FD2">
            <w:pPr>
              <w:rPr>
                <w:rFonts w:cstheme="minorHAnsi"/>
                <w:sz w:val="18"/>
                <w:szCs w:val="18"/>
                <w:lang w:val="es-ES_tradnl"/>
              </w:rPr>
            </w:pPr>
            <w:r w:rsidRPr="00C80F8E">
              <w:rPr>
                <w:rFonts w:cstheme="minorHAnsi"/>
                <w:sz w:val="18"/>
                <w:szCs w:val="18"/>
                <w:lang w:val="es-ES_tradnl"/>
              </w:rPr>
              <w:t>9607000451</w:t>
            </w:r>
          </w:p>
        </w:tc>
        <w:tc>
          <w:tcPr>
            <w:tcW w:w="850" w:type="dxa"/>
            <w:vAlign w:val="bottom"/>
          </w:tcPr>
          <w:p w14:paraId="08DCB0C3" w14:textId="2CFE481D"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12.05%</w:t>
            </w:r>
          </w:p>
        </w:tc>
        <w:tc>
          <w:tcPr>
            <w:tcW w:w="851" w:type="dxa"/>
            <w:vAlign w:val="bottom"/>
          </w:tcPr>
          <w:p w14:paraId="1575D4D3" w14:textId="32213F8E" w:rsidR="000D5FD2" w:rsidRPr="00C80F8E" w:rsidRDefault="000D5FD2" w:rsidP="000D5FD2">
            <w:pPr>
              <w:rPr>
                <w:rFonts w:cstheme="minorHAnsi"/>
                <w:color w:val="000000"/>
                <w:sz w:val="18"/>
                <w:szCs w:val="18"/>
                <w:lang w:val="es-ES_tradnl"/>
              </w:rPr>
            </w:pPr>
            <w:r w:rsidRPr="00C80F8E">
              <w:rPr>
                <w:rFonts w:cstheme="minorHAnsi"/>
                <w:sz w:val="18"/>
                <w:szCs w:val="18"/>
                <w:lang w:val="es-ES_tradnl"/>
              </w:rPr>
              <w:t>90 Días</w:t>
            </w:r>
          </w:p>
        </w:tc>
        <w:tc>
          <w:tcPr>
            <w:tcW w:w="1269" w:type="dxa"/>
            <w:tcBorders>
              <w:top w:val="single" w:sz="4" w:space="0" w:color="auto"/>
              <w:bottom w:val="single" w:sz="4" w:space="0" w:color="auto"/>
              <w:right w:val="single" w:sz="4" w:space="0" w:color="auto"/>
            </w:tcBorders>
            <w:noWrap/>
            <w:vAlign w:val="bottom"/>
          </w:tcPr>
          <w:p w14:paraId="64726E07" w14:textId="408FEBD9"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20,200,833.33 </w:t>
            </w:r>
          </w:p>
        </w:tc>
        <w:tc>
          <w:tcPr>
            <w:tcW w:w="1794" w:type="dxa"/>
            <w:tcBorders>
              <w:top w:val="single" w:sz="4" w:space="0" w:color="auto"/>
              <w:left w:val="single" w:sz="4" w:space="0" w:color="auto"/>
              <w:bottom w:val="single" w:sz="4" w:space="0" w:color="auto"/>
            </w:tcBorders>
            <w:noWrap/>
            <w:vAlign w:val="bottom"/>
          </w:tcPr>
          <w:p w14:paraId="14F3F868" w14:textId="69EFFF7D"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202,850.03 </w:t>
            </w:r>
          </w:p>
        </w:tc>
        <w:tc>
          <w:tcPr>
            <w:tcW w:w="1834" w:type="dxa"/>
            <w:tcBorders>
              <w:top w:val="single" w:sz="4" w:space="0" w:color="auto"/>
              <w:bottom w:val="single" w:sz="4" w:space="0" w:color="auto"/>
            </w:tcBorders>
            <w:noWrap/>
            <w:vAlign w:val="bottom"/>
          </w:tcPr>
          <w:p w14:paraId="6E8D7CE7" w14:textId="3E6BA1A9" w:rsidR="000D5FD2" w:rsidRPr="00C80F8E" w:rsidRDefault="004E5BB9" w:rsidP="000D5FD2">
            <w:pPr>
              <w:jc w:val="right"/>
              <w:rPr>
                <w:rFonts w:cstheme="minorHAnsi"/>
                <w:color w:val="000000"/>
                <w:sz w:val="18"/>
                <w:szCs w:val="18"/>
                <w:lang w:val="es-ES_tradnl"/>
              </w:rPr>
            </w:pPr>
            <w:r w:rsidRPr="00C80F8E">
              <w:rPr>
                <w:rFonts w:cstheme="minorHAnsi"/>
                <w:color w:val="000000"/>
                <w:sz w:val="18"/>
                <w:szCs w:val="18"/>
                <w:lang w:val="es-ES_tradnl"/>
              </w:rPr>
              <w:t>20</w:t>
            </w:r>
            <w:r w:rsidR="00504581" w:rsidRPr="00C80F8E">
              <w:rPr>
                <w:rFonts w:cstheme="minorHAnsi"/>
                <w:color w:val="000000"/>
                <w:sz w:val="18"/>
                <w:szCs w:val="18"/>
                <w:lang w:val="es-ES_tradnl"/>
              </w:rPr>
              <w:t>,403,683.37</w:t>
            </w:r>
          </w:p>
        </w:tc>
      </w:tr>
      <w:tr w:rsidR="000D5FD2" w:rsidRPr="00C80F8E" w14:paraId="3F5D67C5" w14:textId="77777777" w:rsidTr="006B0435">
        <w:trPr>
          <w:trHeight w:val="57"/>
        </w:trPr>
        <w:tc>
          <w:tcPr>
            <w:tcW w:w="1373" w:type="dxa"/>
            <w:noWrap/>
            <w:vAlign w:val="bottom"/>
          </w:tcPr>
          <w:p w14:paraId="5D06F73C" w14:textId="7E47D351" w:rsidR="000D5FD2" w:rsidRPr="00C80F8E" w:rsidRDefault="000D5FD2" w:rsidP="000D5FD2">
            <w:pPr>
              <w:rPr>
                <w:rFonts w:cstheme="minorHAnsi"/>
                <w:sz w:val="18"/>
                <w:szCs w:val="18"/>
                <w:lang w:val="es-ES_tradnl"/>
              </w:rPr>
            </w:pPr>
            <w:r w:rsidRPr="00C80F8E">
              <w:rPr>
                <w:rFonts w:cstheme="minorHAnsi"/>
                <w:sz w:val="18"/>
                <w:szCs w:val="18"/>
                <w:lang w:val="es-ES_tradnl"/>
              </w:rPr>
              <w:t>24/05/2024</w:t>
            </w:r>
          </w:p>
        </w:tc>
        <w:tc>
          <w:tcPr>
            <w:tcW w:w="1306" w:type="dxa"/>
            <w:noWrap/>
            <w:vAlign w:val="bottom"/>
          </w:tcPr>
          <w:p w14:paraId="6F47A589" w14:textId="2482B74C" w:rsidR="000D5FD2" w:rsidRPr="00C80F8E" w:rsidRDefault="000D5FD2" w:rsidP="000D5FD2">
            <w:pPr>
              <w:rPr>
                <w:rFonts w:cstheme="minorHAnsi"/>
                <w:sz w:val="18"/>
                <w:szCs w:val="18"/>
                <w:lang w:val="es-ES_tradnl"/>
              </w:rPr>
            </w:pPr>
            <w:r w:rsidRPr="00C80F8E">
              <w:rPr>
                <w:rFonts w:cstheme="minorHAnsi"/>
                <w:sz w:val="18"/>
                <w:szCs w:val="18"/>
                <w:lang w:val="es-ES_tradnl"/>
              </w:rPr>
              <w:t>9607132130</w:t>
            </w:r>
          </w:p>
        </w:tc>
        <w:tc>
          <w:tcPr>
            <w:tcW w:w="850" w:type="dxa"/>
            <w:vAlign w:val="bottom"/>
          </w:tcPr>
          <w:p w14:paraId="2AA6603F" w14:textId="45BEB59A"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9.75%</w:t>
            </w:r>
          </w:p>
        </w:tc>
        <w:tc>
          <w:tcPr>
            <w:tcW w:w="851" w:type="dxa"/>
            <w:vAlign w:val="bottom"/>
          </w:tcPr>
          <w:p w14:paraId="4BC724E2" w14:textId="4049AA5D" w:rsidR="000D5FD2" w:rsidRPr="00C80F8E" w:rsidRDefault="000D5FD2" w:rsidP="000D5FD2">
            <w:pPr>
              <w:rPr>
                <w:rFonts w:cstheme="minorHAnsi"/>
                <w:color w:val="000000"/>
                <w:sz w:val="18"/>
                <w:szCs w:val="18"/>
                <w:lang w:val="es-ES_tradnl"/>
              </w:rPr>
            </w:pPr>
            <w:r w:rsidRPr="00C80F8E">
              <w:rPr>
                <w:rFonts w:cstheme="minorHAnsi"/>
                <w:sz w:val="18"/>
                <w:szCs w:val="18"/>
                <w:lang w:val="es-ES_tradnl"/>
              </w:rPr>
              <w:t>60 días</w:t>
            </w:r>
          </w:p>
        </w:tc>
        <w:tc>
          <w:tcPr>
            <w:tcW w:w="1269" w:type="dxa"/>
            <w:tcBorders>
              <w:top w:val="single" w:sz="4" w:space="0" w:color="auto"/>
              <w:bottom w:val="single" w:sz="4" w:space="0" w:color="auto"/>
              <w:right w:val="single" w:sz="4" w:space="0" w:color="auto"/>
            </w:tcBorders>
            <w:noWrap/>
            <w:vAlign w:val="bottom"/>
          </w:tcPr>
          <w:p w14:paraId="31DEBD55" w14:textId="65198E52"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12,000,000.00 </w:t>
            </w:r>
          </w:p>
        </w:tc>
        <w:tc>
          <w:tcPr>
            <w:tcW w:w="1794" w:type="dxa"/>
            <w:tcBorders>
              <w:top w:val="single" w:sz="4" w:space="0" w:color="auto"/>
              <w:left w:val="single" w:sz="4" w:space="0" w:color="auto"/>
              <w:bottom w:val="single" w:sz="4" w:space="0" w:color="auto"/>
            </w:tcBorders>
            <w:noWrap/>
            <w:vAlign w:val="bottom"/>
          </w:tcPr>
          <w:p w14:paraId="49122771" w14:textId="372953C0"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 97,500.00 </w:t>
            </w:r>
          </w:p>
        </w:tc>
        <w:tc>
          <w:tcPr>
            <w:tcW w:w="1834" w:type="dxa"/>
            <w:tcBorders>
              <w:top w:val="single" w:sz="4" w:space="0" w:color="auto"/>
              <w:bottom w:val="single" w:sz="4" w:space="0" w:color="auto"/>
            </w:tcBorders>
            <w:noWrap/>
            <w:vAlign w:val="bottom"/>
          </w:tcPr>
          <w:p w14:paraId="587FF16A" w14:textId="39B02C18" w:rsidR="000D5FD2" w:rsidRPr="00C80F8E" w:rsidRDefault="00504581" w:rsidP="000D5FD2">
            <w:pPr>
              <w:jc w:val="right"/>
              <w:rPr>
                <w:rFonts w:cstheme="minorHAnsi"/>
                <w:color w:val="000000"/>
                <w:sz w:val="18"/>
                <w:szCs w:val="18"/>
                <w:lang w:val="es-ES_tradnl"/>
              </w:rPr>
            </w:pPr>
            <w:r w:rsidRPr="00C80F8E">
              <w:rPr>
                <w:rFonts w:cstheme="minorHAnsi"/>
                <w:color w:val="000000"/>
                <w:sz w:val="18"/>
                <w:szCs w:val="18"/>
                <w:lang w:val="es-ES_tradnl"/>
              </w:rPr>
              <w:t>12,097,500.00</w:t>
            </w:r>
          </w:p>
        </w:tc>
      </w:tr>
      <w:tr w:rsidR="000D5FD2" w:rsidRPr="00C80F8E" w14:paraId="1164306D" w14:textId="77777777" w:rsidTr="006B0435">
        <w:trPr>
          <w:trHeight w:val="57"/>
        </w:trPr>
        <w:tc>
          <w:tcPr>
            <w:tcW w:w="1373" w:type="dxa"/>
            <w:noWrap/>
            <w:vAlign w:val="bottom"/>
          </w:tcPr>
          <w:p w14:paraId="5BAA29C9" w14:textId="613F3190" w:rsidR="000D5FD2" w:rsidRPr="00C80F8E" w:rsidRDefault="000D5FD2" w:rsidP="000D5FD2">
            <w:pPr>
              <w:rPr>
                <w:rFonts w:cstheme="minorHAnsi"/>
                <w:sz w:val="18"/>
                <w:szCs w:val="18"/>
                <w:lang w:val="es-ES_tradnl"/>
              </w:rPr>
            </w:pPr>
            <w:r w:rsidRPr="00C80F8E">
              <w:rPr>
                <w:rFonts w:cstheme="minorHAnsi"/>
                <w:sz w:val="18"/>
                <w:szCs w:val="18"/>
                <w:lang w:val="es-ES_tradnl"/>
              </w:rPr>
              <w:t>28/06/2024</w:t>
            </w:r>
          </w:p>
        </w:tc>
        <w:tc>
          <w:tcPr>
            <w:tcW w:w="1306" w:type="dxa"/>
            <w:noWrap/>
            <w:vAlign w:val="bottom"/>
          </w:tcPr>
          <w:p w14:paraId="2A11F098" w14:textId="505D3D06" w:rsidR="000D5FD2" w:rsidRPr="00C80F8E" w:rsidRDefault="000D5FD2" w:rsidP="000D5FD2">
            <w:pPr>
              <w:rPr>
                <w:rFonts w:cstheme="minorHAnsi"/>
                <w:sz w:val="18"/>
                <w:szCs w:val="18"/>
                <w:lang w:val="es-ES_tradnl"/>
              </w:rPr>
            </w:pPr>
            <w:r w:rsidRPr="00C80F8E">
              <w:rPr>
                <w:rFonts w:cstheme="minorHAnsi"/>
                <w:sz w:val="18"/>
                <w:szCs w:val="18"/>
                <w:lang w:val="es-ES_tradnl"/>
              </w:rPr>
              <w:t>9607255429</w:t>
            </w:r>
          </w:p>
        </w:tc>
        <w:tc>
          <w:tcPr>
            <w:tcW w:w="850" w:type="dxa"/>
            <w:vAlign w:val="bottom"/>
          </w:tcPr>
          <w:p w14:paraId="0D47B244" w14:textId="23FAF59C"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9.75%</w:t>
            </w:r>
          </w:p>
        </w:tc>
        <w:tc>
          <w:tcPr>
            <w:tcW w:w="851" w:type="dxa"/>
            <w:vAlign w:val="bottom"/>
          </w:tcPr>
          <w:p w14:paraId="128E9347" w14:textId="6DAD20C2" w:rsidR="000D5FD2" w:rsidRPr="00C80F8E" w:rsidRDefault="000D5FD2" w:rsidP="000D5FD2">
            <w:pPr>
              <w:rPr>
                <w:rFonts w:cstheme="minorHAnsi"/>
                <w:color w:val="000000"/>
                <w:sz w:val="18"/>
                <w:szCs w:val="18"/>
                <w:lang w:val="es-ES_tradnl"/>
              </w:rPr>
            </w:pPr>
            <w:r w:rsidRPr="00C80F8E">
              <w:rPr>
                <w:rFonts w:cstheme="minorHAnsi"/>
                <w:sz w:val="18"/>
                <w:szCs w:val="18"/>
                <w:lang w:val="es-ES_tradnl"/>
              </w:rPr>
              <w:t>60 días</w:t>
            </w:r>
          </w:p>
        </w:tc>
        <w:tc>
          <w:tcPr>
            <w:tcW w:w="1269" w:type="dxa"/>
            <w:tcBorders>
              <w:top w:val="single" w:sz="4" w:space="0" w:color="auto"/>
              <w:bottom w:val="single" w:sz="12" w:space="0" w:color="auto"/>
              <w:right w:val="single" w:sz="4" w:space="0" w:color="auto"/>
            </w:tcBorders>
            <w:noWrap/>
            <w:vAlign w:val="bottom"/>
          </w:tcPr>
          <w:p w14:paraId="02B4C398" w14:textId="0E76BFD6"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20,000,000.00     </w:t>
            </w:r>
          </w:p>
        </w:tc>
        <w:tc>
          <w:tcPr>
            <w:tcW w:w="1794" w:type="dxa"/>
            <w:tcBorders>
              <w:top w:val="single" w:sz="4" w:space="0" w:color="auto"/>
              <w:left w:val="single" w:sz="4" w:space="0" w:color="auto"/>
              <w:bottom w:val="single" w:sz="12" w:space="0" w:color="auto"/>
            </w:tcBorders>
            <w:noWrap/>
            <w:vAlign w:val="bottom"/>
          </w:tcPr>
          <w:p w14:paraId="6BC0458E" w14:textId="3734492F" w:rsidR="000D5FD2" w:rsidRPr="00C80F8E" w:rsidRDefault="000D5FD2" w:rsidP="000D5FD2">
            <w:pPr>
              <w:jc w:val="right"/>
              <w:rPr>
                <w:rFonts w:cstheme="minorHAnsi"/>
                <w:color w:val="000000"/>
                <w:sz w:val="18"/>
                <w:szCs w:val="18"/>
                <w:lang w:val="es-ES_tradnl"/>
              </w:rPr>
            </w:pPr>
            <w:r w:rsidRPr="00C80F8E">
              <w:rPr>
                <w:rFonts w:cstheme="minorHAnsi"/>
                <w:sz w:val="18"/>
                <w:szCs w:val="18"/>
                <w:lang w:val="es-ES_tradnl"/>
              </w:rPr>
              <w:t xml:space="preserve">0.00 </w:t>
            </w:r>
          </w:p>
        </w:tc>
        <w:tc>
          <w:tcPr>
            <w:tcW w:w="1834" w:type="dxa"/>
            <w:tcBorders>
              <w:top w:val="single" w:sz="4" w:space="0" w:color="auto"/>
              <w:bottom w:val="single" w:sz="12" w:space="0" w:color="auto"/>
            </w:tcBorders>
            <w:noWrap/>
            <w:vAlign w:val="bottom"/>
          </w:tcPr>
          <w:p w14:paraId="4A39404A" w14:textId="0F74A588" w:rsidR="000D5FD2" w:rsidRPr="00C80F8E" w:rsidRDefault="00504581" w:rsidP="000D5FD2">
            <w:pPr>
              <w:jc w:val="right"/>
              <w:rPr>
                <w:rFonts w:cstheme="minorHAnsi"/>
                <w:color w:val="000000"/>
                <w:sz w:val="18"/>
                <w:szCs w:val="18"/>
                <w:lang w:val="es-ES_tradnl"/>
              </w:rPr>
            </w:pPr>
            <w:r w:rsidRPr="00C80F8E">
              <w:rPr>
                <w:rFonts w:cstheme="minorHAnsi"/>
                <w:sz w:val="18"/>
                <w:szCs w:val="18"/>
                <w:lang w:val="es-ES_tradnl"/>
              </w:rPr>
              <w:t>20,000,000.00</w:t>
            </w:r>
            <w:r w:rsidR="000D5FD2" w:rsidRPr="00C80F8E">
              <w:rPr>
                <w:rFonts w:cstheme="minorHAnsi"/>
                <w:sz w:val="18"/>
                <w:szCs w:val="18"/>
                <w:lang w:val="es-ES_tradnl"/>
              </w:rPr>
              <w:t xml:space="preserve">   </w:t>
            </w:r>
          </w:p>
        </w:tc>
      </w:tr>
      <w:tr w:rsidR="000D5FD2" w:rsidRPr="00C80F8E" w14:paraId="0AD6C9DC" w14:textId="77777777" w:rsidTr="006B0435">
        <w:trPr>
          <w:trHeight w:val="73"/>
        </w:trPr>
        <w:tc>
          <w:tcPr>
            <w:tcW w:w="2679" w:type="dxa"/>
            <w:gridSpan w:val="2"/>
            <w:shd w:val="clear" w:color="000000" w:fill="FFFFFF"/>
            <w:noWrap/>
            <w:vAlign w:val="bottom"/>
            <w:hideMark/>
          </w:tcPr>
          <w:p w14:paraId="557589B4" w14:textId="77777777" w:rsidR="000D5FD2" w:rsidRPr="00C80F8E" w:rsidRDefault="000D5FD2" w:rsidP="000D5FD2">
            <w:pPr>
              <w:rPr>
                <w:rFonts w:cstheme="minorHAnsi"/>
                <w:color w:val="000000"/>
                <w:sz w:val="18"/>
                <w:szCs w:val="18"/>
                <w:lang w:val="es-ES_tradnl"/>
              </w:rPr>
            </w:pPr>
            <w:r w:rsidRPr="00C80F8E">
              <w:rPr>
                <w:rFonts w:cstheme="minorHAnsi"/>
                <w:color w:val="000000"/>
                <w:sz w:val="18"/>
                <w:szCs w:val="18"/>
                <w:lang w:val="es-ES_tradnl"/>
              </w:rPr>
              <w:t>Totales CF Vigentes (RD$)</w:t>
            </w:r>
          </w:p>
        </w:tc>
        <w:tc>
          <w:tcPr>
            <w:tcW w:w="850" w:type="dxa"/>
            <w:shd w:val="clear" w:color="000000" w:fill="FFFFFF"/>
          </w:tcPr>
          <w:p w14:paraId="1930A32C" w14:textId="77777777" w:rsidR="000D5FD2" w:rsidRPr="00C80F8E" w:rsidRDefault="000D5FD2" w:rsidP="000D5FD2">
            <w:pPr>
              <w:jc w:val="center"/>
              <w:rPr>
                <w:rFonts w:cstheme="minorHAnsi"/>
                <w:color w:val="000000"/>
                <w:sz w:val="18"/>
                <w:szCs w:val="18"/>
                <w:lang w:val="es-ES_tradnl"/>
              </w:rPr>
            </w:pPr>
          </w:p>
        </w:tc>
        <w:tc>
          <w:tcPr>
            <w:tcW w:w="851" w:type="dxa"/>
            <w:shd w:val="clear" w:color="000000" w:fill="FFFFFF"/>
            <w:vAlign w:val="bottom"/>
          </w:tcPr>
          <w:p w14:paraId="79F08E38" w14:textId="77777777" w:rsidR="000D5FD2" w:rsidRPr="00C80F8E" w:rsidRDefault="000D5FD2" w:rsidP="000D5FD2">
            <w:pPr>
              <w:jc w:val="center"/>
              <w:rPr>
                <w:rFonts w:cstheme="minorHAnsi"/>
                <w:color w:val="000000"/>
                <w:sz w:val="18"/>
                <w:szCs w:val="18"/>
                <w:lang w:val="es-ES_tradnl"/>
              </w:rPr>
            </w:pPr>
          </w:p>
        </w:tc>
        <w:tc>
          <w:tcPr>
            <w:tcW w:w="1269" w:type="dxa"/>
            <w:tcBorders>
              <w:top w:val="single" w:sz="12" w:space="0" w:color="auto"/>
              <w:bottom w:val="double" w:sz="4" w:space="0" w:color="auto"/>
              <w:right w:val="single" w:sz="12" w:space="0" w:color="auto"/>
            </w:tcBorders>
            <w:shd w:val="clear" w:color="000000" w:fill="FFFFFF"/>
            <w:noWrap/>
            <w:vAlign w:val="bottom"/>
            <w:hideMark/>
          </w:tcPr>
          <w:p w14:paraId="1C8D063D" w14:textId="110A76D2" w:rsidR="000D5FD2" w:rsidRPr="00C80F8E" w:rsidRDefault="000D5FD2" w:rsidP="00CB4468">
            <w:pPr>
              <w:jc w:val="right"/>
              <w:rPr>
                <w:rFonts w:cstheme="minorHAnsi"/>
                <w:b/>
                <w:bCs/>
                <w:color w:val="000000"/>
                <w:sz w:val="18"/>
                <w:szCs w:val="18"/>
                <w:lang w:val="es-ES_tradnl"/>
              </w:rPr>
            </w:pPr>
            <w:r w:rsidRPr="00C80F8E">
              <w:rPr>
                <w:rFonts w:cstheme="minorHAnsi"/>
                <w:b/>
                <w:bCs/>
                <w:color w:val="000000"/>
                <w:sz w:val="18"/>
                <w:szCs w:val="18"/>
                <w:lang w:val="es-ES_tradnl"/>
              </w:rPr>
              <w:t>89,469,116.21</w:t>
            </w:r>
          </w:p>
        </w:tc>
        <w:tc>
          <w:tcPr>
            <w:tcW w:w="1794" w:type="dxa"/>
            <w:tcBorders>
              <w:top w:val="single" w:sz="12" w:space="0" w:color="auto"/>
              <w:left w:val="single" w:sz="12" w:space="0" w:color="auto"/>
              <w:bottom w:val="double" w:sz="4" w:space="0" w:color="auto"/>
              <w:right w:val="single" w:sz="12" w:space="0" w:color="auto"/>
            </w:tcBorders>
            <w:shd w:val="clear" w:color="000000" w:fill="FFFFFF"/>
            <w:noWrap/>
            <w:vAlign w:val="bottom"/>
            <w:hideMark/>
          </w:tcPr>
          <w:p w14:paraId="40BB45C4" w14:textId="77777777" w:rsidR="000D5FD2" w:rsidRPr="00C80F8E" w:rsidRDefault="000D5FD2" w:rsidP="00CB4468">
            <w:pPr>
              <w:jc w:val="right"/>
              <w:rPr>
                <w:rFonts w:cstheme="minorHAnsi"/>
                <w:b/>
                <w:bCs/>
                <w:color w:val="000000"/>
                <w:sz w:val="18"/>
                <w:szCs w:val="18"/>
                <w:lang w:val="es-ES_tradnl"/>
              </w:rPr>
            </w:pPr>
            <w:r w:rsidRPr="00C80F8E">
              <w:rPr>
                <w:rFonts w:cstheme="minorHAnsi"/>
                <w:b/>
                <w:bCs/>
                <w:color w:val="000000"/>
                <w:sz w:val="18"/>
                <w:szCs w:val="18"/>
                <w:lang w:val="es-ES_tradnl"/>
              </w:rPr>
              <w:t>627,892.68</w:t>
            </w:r>
          </w:p>
          <w:p w14:paraId="69350A6E" w14:textId="6339F00E" w:rsidR="000D5FD2" w:rsidRPr="00C80F8E" w:rsidRDefault="000D5FD2" w:rsidP="00CB4468">
            <w:pPr>
              <w:jc w:val="right"/>
              <w:rPr>
                <w:rFonts w:cstheme="minorHAnsi"/>
                <w:b/>
                <w:bCs/>
                <w:color w:val="000000"/>
                <w:sz w:val="18"/>
                <w:szCs w:val="18"/>
                <w:lang w:val="es-ES_tradnl"/>
              </w:rPr>
            </w:pPr>
          </w:p>
        </w:tc>
        <w:tc>
          <w:tcPr>
            <w:tcW w:w="1834" w:type="dxa"/>
            <w:tcBorders>
              <w:top w:val="single" w:sz="12" w:space="0" w:color="auto"/>
              <w:left w:val="single" w:sz="12" w:space="0" w:color="auto"/>
              <w:bottom w:val="double" w:sz="4" w:space="0" w:color="auto"/>
            </w:tcBorders>
            <w:shd w:val="clear" w:color="000000" w:fill="FFFFFF"/>
            <w:noWrap/>
            <w:vAlign w:val="bottom"/>
          </w:tcPr>
          <w:p w14:paraId="32DE079C" w14:textId="5EC5A01D" w:rsidR="000D5FD2" w:rsidRPr="00C80F8E" w:rsidRDefault="00CB4468" w:rsidP="00470FB3">
            <w:pPr>
              <w:jc w:val="right"/>
              <w:rPr>
                <w:rFonts w:cstheme="minorHAnsi"/>
                <w:b/>
                <w:bCs/>
                <w:color w:val="000000"/>
                <w:sz w:val="18"/>
                <w:szCs w:val="18"/>
                <w:lang w:val="es-ES_tradnl"/>
              </w:rPr>
            </w:pPr>
            <w:r w:rsidRPr="00C80F8E">
              <w:rPr>
                <w:rFonts w:cstheme="minorHAnsi"/>
                <w:b/>
                <w:bCs/>
                <w:color w:val="000000"/>
                <w:sz w:val="18"/>
                <w:szCs w:val="18"/>
                <w:lang w:val="es-ES_tradnl"/>
              </w:rPr>
              <w:t>90,097,008.89</w:t>
            </w:r>
          </w:p>
        </w:tc>
      </w:tr>
    </w:tbl>
    <w:p w14:paraId="61407F3E" w14:textId="77777777" w:rsidR="006D2936" w:rsidRPr="00C80F8E" w:rsidRDefault="006D2936" w:rsidP="00101F38">
      <w:pPr>
        <w:spacing w:line="240" w:lineRule="auto"/>
        <w:contextualSpacing/>
        <w:jc w:val="both"/>
        <w:rPr>
          <w:rFonts w:ascii="Abadi" w:hAnsi="Abadi"/>
          <w:iCs/>
          <w:lang w:val="es-ES_tradnl"/>
        </w:rPr>
      </w:pPr>
    </w:p>
    <w:p w14:paraId="28FBE671" w14:textId="77777777" w:rsidR="007358EA" w:rsidRPr="00C80F8E" w:rsidRDefault="007358EA" w:rsidP="00E408F3">
      <w:pPr>
        <w:spacing w:line="240" w:lineRule="auto"/>
        <w:contextualSpacing/>
        <w:jc w:val="both"/>
        <w:rPr>
          <w:rFonts w:ascii="Abadi" w:hAnsi="Abadi"/>
          <w:b/>
          <w:bCs/>
          <w:iCs/>
          <w:lang w:val="es-ES_tradnl"/>
        </w:rPr>
      </w:pPr>
      <w:r w:rsidRPr="00C80F8E">
        <w:rPr>
          <w:rFonts w:ascii="Abadi" w:hAnsi="Abadi"/>
          <w:b/>
          <w:bCs/>
          <w:iCs/>
          <w:color w:val="000000"/>
          <w:lang w:val="es-ES_tradnl"/>
        </w:rPr>
        <w:t>JMMB Bank, S. A.</w:t>
      </w:r>
    </w:p>
    <w:tbl>
      <w:tblPr>
        <w:tblW w:w="927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73"/>
        <w:gridCol w:w="1437"/>
        <w:gridCol w:w="814"/>
        <w:gridCol w:w="755"/>
        <w:gridCol w:w="1270"/>
        <w:gridCol w:w="1794"/>
        <w:gridCol w:w="1834"/>
      </w:tblGrid>
      <w:tr w:rsidR="003513F1" w:rsidRPr="00C80F8E" w14:paraId="6B060A1E" w14:textId="77777777" w:rsidTr="001672FC">
        <w:trPr>
          <w:trHeight w:val="68"/>
        </w:trPr>
        <w:tc>
          <w:tcPr>
            <w:tcW w:w="1373" w:type="dxa"/>
            <w:tcBorders>
              <w:top w:val="single" w:sz="12" w:space="0" w:color="auto"/>
              <w:bottom w:val="single" w:sz="8" w:space="0" w:color="auto"/>
            </w:tcBorders>
            <w:shd w:val="clear" w:color="000000" w:fill="0070C0"/>
            <w:vAlign w:val="bottom"/>
            <w:hideMark/>
          </w:tcPr>
          <w:p w14:paraId="4AE0A200" w14:textId="77777777" w:rsidR="003513F1" w:rsidRPr="00C80F8E" w:rsidRDefault="003513F1" w:rsidP="00FD7CA2">
            <w:pPr>
              <w:jc w:val="center"/>
              <w:rPr>
                <w:rFonts w:cstheme="minorHAnsi"/>
                <w:color w:val="FFFFFF"/>
                <w:sz w:val="18"/>
                <w:szCs w:val="18"/>
                <w:lang w:val="es-ES_tradnl"/>
              </w:rPr>
            </w:pPr>
            <w:bookmarkStart w:id="49" w:name="_Hlk202799405"/>
            <w:r w:rsidRPr="00C80F8E">
              <w:rPr>
                <w:rFonts w:cstheme="minorHAnsi"/>
                <w:color w:val="FFFFFF"/>
                <w:sz w:val="18"/>
                <w:szCs w:val="18"/>
                <w:lang w:val="es-ES_tradnl"/>
              </w:rPr>
              <w:t>Fecha</w:t>
            </w:r>
          </w:p>
        </w:tc>
        <w:tc>
          <w:tcPr>
            <w:tcW w:w="1306" w:type="dxa"/>
            <w:tcBorders>
              <w:top w:val="single" w:sz="12" w:space="0" w:color="auto"/>
              <w:bottom w:val="single" w:sz="8" w:space="0" w:color="auto"/>
            </w:tcBorders>
            <w:shd w:val="clear" w:color="000000" w:fill="0070C0"/>
            <w:vAlign w:val="bottom"/>
            <w:hideMark/>
          </w:tcPr>
          <w:p w14:paraId="26B3B1D1" w14:textId="77777777" w:rsidR="003513F1" w:rsidRPr="00C80F8E" w:rsidRDefault="003513F1" w:rsidP="00FD7CA2">
            <w:pPr>
              <w:jc w:val="center"/>
              <w:rPr>
                <w:rFonts w:cstheme="minorHAnsi"/>
                <w:color w:val="FFFFFF"/>
                <w:sz w:val="18"/>
                <w:szCs w:val="18"/>
                <w:lang w:val="es-ES_tradnl"/>
              </w:rPr>
            </w:pPr>
            <w:r w:rsidRPr="00C80F8E">
              <w:rPr>
                <w:rFonts w:cstheme="minorHAnsi"/>
                <w:color w:val="FFFFFF"/>
                <w:sz w:val="18"/>
                <w:szCs w:val="18"/>
                <w:lang w:val="es-ES_tradnl"/>
              </w:rPr>
              <w:t>Descripción</w:t>
            </w:r>
          </w:p>
        </w:tc>
        <w:tc>
          <w:tcPr>
            <w:tcW w:w="850" w:type="dxa"/>
            <w:tcBorders>
              <w:top w:val="single" w:sz="12" w:space="0" w:color="auto"/>
              <w:bottom w:val="single" w:sz="8" w:space="0" w:color="auto"/>
            </w:tcBorders>
            <w:shd w:val="clear" w:color="000000" w:fill="0070C0"/>
            <w:vAlign w:val="bottom"/>
          </w:tcPr>
          <w:p w14:paraId="56B97445" w14:textId="77777777" w:rsidR="003513F1" w:rsidRPr="00C80F8E" w:rsidRDefault="003513F1" w:rsidP="00FD7CA2">
            <w:pPr>
              <w:jc w:val="center"/>
              <w:rPr>
                <w:rFonts w:cstheme="minorHAnsi"/>
                <w:color w:val="FFFFFF"/>
                <w:sz w:val="18"/>
                <w:szCs w:val="18"/>
                <w:lang w:val="es-ES_tradnl"/>
              </w:rPr>
            </w:pPr>
            <w:r w:rsidRPr="00C80F8E">
              <w:rPr>
                <w:rFonts w:cstheme="minorHAnsi"/>
                <w:color w:val="FFFFFF"/>
                <w:sz w:val="18"/>
                <w:szCs w:val="18"/>
                <w:lang w:val="es-ES_tradnl"/>
              </w:rPr>
              <w:t xml:space="preserve">Tasa </w:t>
            </w:r>
            <w:proofErr w:type="spellStart"/>
            <w:r w:rsidRPr="00C80F8E">
              <w:rPr>
                <w:rFonts w:cstheme="minorHAnsi"/>
                <w:color w:val="FFFFFF"/>
                <w:sz w:val="18"/>
                <w:szCs w:val="18"/>
                <w:lang w:val="es-ES_tradnl"/>
              </w:rPr>
              <w:t>Interes</w:t>
            </w:r>
            <w:proofErr w:type="spellEnd"/>
          </w:p>
        </w:tc>
        <w:tc>
          <w:tcPr>
            <w:tcW w:w="850" w:type="dxa"/>
            <w:tcBorders>
              <w:top w:val="single" w:sz="12" w:space="0" w:color="auto"/>
              <w:bottom w:val="single" w:sz="8" w:space="0" w:color="auto"/>
            </w:tcBorders>
            <w:shd w:val="clear" w:color="000000" w:fill="0070C0"/>
            <w:vAlign w:val="bottom"/>
          </w:tcPr>
          <w:p w14:paraId="23AE50A3" w14:textId="77777777" w:rsidR="003513F1" w:rsidRPr="00C80F8E" w:rsidRDefault="003513F1" w:rsidP="00FD7CA2">
            <w:pPr>
              <w:jc w:val="center"/>
              <w:rPr>
                <w:rFonts w:cstheme="minorHAnsi"/>
                <w:color w:val="FFFFFF"/>
                <w:sz w:val="18"/>
                <w:szCs w:val="18"/>
                <w:lang w:val="es-ES_tradnl"/>
              </w:rPr>
            </w:pPr>
            <w:r w:rsidRPr="00C80F8E">
              <w:rPr>
                <w:rFonts w:cstheme="minorHAnsi"/>
                <w:color w:val="FFFFFF"/>
                <w:sz w:val="18"/>
                <w:szCs w:val="18"/>
                <w:lang w:val="es-ES_tradnl"/>
              </w:rPr>
              <w:t>Plazo</w:t>
            </w:r>
          </w:p>
        </w:tc>
        <w:tc>
          <w:tcPr>
            <w:tcW w:w="1270" w:type="dxa"/>
            <w:tcBorders>
              <w:top w:val="single" w:sz="12" w:space="0" w:color="auto"/>
              <w:bottom w:val="single" w:sz="8" w:space="0" w:color="auto"/>
            </w:tcBorders>
            <w:shd w:val="clear" w:color="000000" w:fill="0070C0"/>
            <w:vAlign w:val="bottom"/>
            <w:hideMark/>
          </w:tcPr>
          <w:p w14:paraId="71584152" w14:textId="77777777" w:rsidR="003513F1" w:rsidRPr="00C80F8E" w:rsidRDefault="003513F1" w:rsidP="00FD7CA2">
            <w:pPr>
              <w:jc w:val="center"/>
              <w:rPr>
                <w:rFonts w:cstheme="minorHAnsi"/>
                <w:color w:val="FFFFFF"/>
                <w:sz w:val="18"/>
                <w:szCs w:val="18"/>
                <w:lang w:val="es-ES_tradnl"/>
              </w:rPr>
            </w:pPr>
            <w:r w:rsidRPr="00C80F8E">
              <w:rPr>
                <w:rFonts w:cstheme="minorHAnsi"/>
                <w:color w:val="FFFFFF"/>
                <w:sz w:val="18"/>
                <w:szCs w:val="18"/>
                <w:lang w:val="es-ES_tradnl"/>
              </w:rPr>
              <w:t>Monto</w:t>
            </w:r>
          </w:p>
          <w:p w14:paraId="61CEEB43" w14:textId="77777777" w:rsidR="003513F1" w:rsidRPr="00C80F8E" w:rsidRDefault="003513F1" w:rsidP="00FD7CA2">
            <w:pPr>
              <w:jc w:val="center"/>
              <w:rPr>
                <w:rFonts w:cstheme="minorHAnsi"/>
                <w:color w:val="FFFFFF"/>
                <w:sz w:val="18"/>
                <w:szCs w:val="18"/>
                <w:lang w:val="es-ES_tradnl"/>
              </w:rPr>
            </w:pPr>
            <w:r w:rsidRPr="00C80F8E">
              <w:rPr>
                <w:rFonts w:cstheme="minorHAnsi"/>
                <w:color w:val="FFFFFF"/>
                <w:sz w:val="18"/>
                <w:szCs w:val="18"/>
                <w:lang w:val="es-ES_tradnl"/>
              </w:rPr>
              <w:t>Nominal</w:t>
            </w:r>
          </w:p>
        </w:tc>
        <w:tc>
          <w:tcPr>
            <w:tcW w:w="1794" w:type="dxa"/>
            <w:tcBorders>
              <w:top w:val="single" w:sz="12" w:space="0" w:color="auto"/>
              <w:bottom w:val="single" w:sz="8" w:space="0" w:color="auto"/>
            </w:tcBorders>
            <w:shd w:val="clear" w:color="000000" w:fill="0070C0"/>
            <w:vAlign w:val="bottom"/>
            <w:hideMark/>
          </w:tcPr>
          <w:p w14:paraId="5A244893" w14:textId="77777777" w:rsidR="003513F1" w:rsidRPr="00C80F8E" w:rsidRDefault="003513F1" w:rsidP="00FD7CA2">
            <w:pPr>
              <w:jc w:val="center"/>
              <w:rPr>
                <w:rFonts w:cstheme="minorHAnsi"/>
                <w:color w:val="FFFFFF"/>
                <w:sz w:val="18"/>
                <w:szCs w:val="18"/>
                <w:lang w:val="es-ES_tradnl"/>
              </w:rPr>
            </w:pPr>
            <w:r w:rsidRPr="00C80F8E">
              <w:rPr>
                <w:rFonts w:cstheme="minorHAnsi"/>
                <w:color w:val="FFFFFF"/>
                <w:sz w:val="18"/>
                <w:szCs w:val="18"/>
                <w:lang w:val="es-ES_tradnl"/>
              </w:rPr>
              <w:t>Intereses Ganados</w:t>
            </w:r>
          </w:p>
        </w:tc>
        <w:tc>
          <w:tcPr>
            <w:tcW w:w="1834" w:type="dxa"/>
            <w:tcBorders>
              <w:top w:val="single" w:sz="12" w:space="0" w:color="auto"/>
              <w:bottom w:val="single" w:sz="8" w:space="0" w:color="auto"/>
            </w:tcBorders>
            <w:shd w:val="clear" w:color="000000" w:fill="0070C0"/>
            <w:vAlign w:val="bottom"/>
            <w:hideMark/>
          </w:tcPr>
          <w:p w14:paraId="3D010412" w14:textId="77777777" w:rsidR="003513F1" w:rsidRPr="00C80F8E" w:rsidRDefault="003513F1" w:rsidP="00FD7CA2">
            <w:pPr>
              <w:jc w:val="center"/>
              <w:rPr>
                <w:rFonts w:cstheme="minorHAnsi"/>
                <w:color w:val="FFFFFF"/>
                <w:sz w:val="18"/>
                <w:szCs w:val="18"/>
                <w:lang w:val="es-ES_tradnl"/>
              </w:rPr>
            </w:pPr>
            <w:r w:rsidRPr="00C80F8E">
              <w:rPr>
                <w:rFonts w:cstheme="minorHAnsi"/>
                <w:color w:val="FFFFFF"/>
                <w:sz w:val="18"/>
                <w:szCs w:val="18"/>
                <w:lang w:val="es-ES_tradnl"/>
              </w:rPr>
              <w:t>Monto Capitalizado</w:t>
            </w:r>
          </w:p>
        </w:tc>
      </w:tr>
      <w:tr w:rsidR="003513F1" w:rsidRPr="00C80F8E" w14:paraId="1A4A455A" w14:textId="77777777" w:rsidTr="001672FC">
        <w:trPr>
          <w:trHeight w:val="40"/>
        </w:trPr>
        <w:tc>
          <w:tcPr>
            <w:tcW w:w="1373" w:type="dxa"/>
            <w:tcBorders>
              <w:top w:val="single" w:sz="8" w:space="0" w:color="auto"/>
            </w:tcBorders>
            <w:noWrap/>
            <w:vAlign w:val="bottom"/>
            <w:hideMark/>
          </w:tcPr>
          <w:p w14:paraId="61BF0A19" w14:textId="49886881" w:rsidR="003513F1" w:rsidRPr="00C80F8E" w:rsidRDefault="00951B2B" w:rsidP="00FD7CA2">
            <w:pPr>
              <w:rPr>
                <w:rFonts w:cstheme="minorHAnsi"/>
                <w:sz w:val="18"/>
                <w:szCs w:val="18"/>
                <w:lang w:val="es-ES_tradnl"/>
              </w:rPr>
            </w:pPr>
            <w:r w:rsidRPr="00C80F8E">
              <w:rPr>
                <w:rFonts w:cstheme="minorHAnsi"/>
                <w:sz w:val="18"/>
                <w:szCs w:val="18"/>
                <w:lang w:val="es-ES_tradnl"/>
              </w:rPr>
              <w:t>04/12/2023</w:t>
            </w:r>
          </w:p>
        </w:tc>
        <w:tc>
          <w:tcPr>
            <w:tcW w:w="1306" w:type="dxa"/>
            <w:tcBorders>
              <w:top w:val="single" w:sz="8" w:space="0" w:color="auto"/>
            </w:tcBorders>
            <w:noWrap/>
            <w:vAlign w:val="bottom"/>
            <w:hideMark/>
          </w:tcPr>
          <w:p w14:paraId="78F33BD1" w14:textId="58D6DC26" w:rsidR="003513F1" w:rsidRPr="00C80F8E" w:rsidRDefault="00951B2B" w:rsidP="00FD7CA2">
            <w:pPr>
              <w:rPr>
                <w:rFonts w:cstheme="minorHAnsi"/>
                <w:sz w:val="18"/>
                <w:szCs w:val="18"/>
                <w:lang w:val="es-ES_tradnl"/>
              </w:rPr>
            </w:pPr>
            <w:r w:rsidRPr="00C80F8E">
              <w:rPr>
                <w:rFonts w:cstheme="minorHAnsi"/>
                <w:sz w:val="18"/>
                <w:szCs w:val="18"/>
                <w:lang w:val="es-ES_tradnl"/>
              </w:rPr>
              <w:t>MM2333807781</w:t>
            </w:r>
          </w:p>
        </w:tc>
        <w:tc>
          <w:tcPr>
            <w:tcW w:w="850" w:type="dxa"/>
            <w:tcBorders>
              <w:top w:val="single" w:sz="8" w:space="0" w:color="auto"/>
            </w:tcBorders>
            <w:vAlign w:val="bottom"/>
          </w:tcPr>
          <w:p w14:paraId="264ABFDB" w14:textId="49A8C443" w:rsidR="003513F1" w:rsidRPr="00C80F8E" w:rsidRDefault="00951B2B" w:rsidP="00FD7CA2">
            <w:pPr>
              <w:jc w:val="right"/>
              <w:rPr>
                <w:rFonts w:cstheme="minorHAnsi"/>
                <w:color w:val="000000"/>
                <w:sz w:val="18"/>
                <w:szCs w:val="18"/>
                <w:lang w:val="es-ES_tradnl"/>
              </w:rPr>
            </w:pPr>
            <w:r w:rsidRPr="00C80F8E">
              <w:rPr>
                <w:rFonts w:cstheme="minorHAnsi"/>
                <w:sz w:val="18"/>
                <w:szCs w:val="18"/>
                <w:lang w:val="es-ES_tradnl"/>
              </w:rPr>
              <w:t>10.80</w:t>
            </w:r>
            <w:r w:rsidR="003513F1" w:rsidRPr="00C80F8E">
              <w:rPr>
                <w:rFonts w:cstheme="minorHAnsi"/>
                <w:sz w:val="18"/>
                <w:szCs w:val="18"/>
                <w:lang w:val="es-ES_tradnl"/>
              </w:rPr>
              <w:t>%</w:t>
            </w:r>
          </w:p>
        </w:tc>
        <w:tc>
          <w:tcPr>
            <w:tcW w:w="850" w:type="dxa"/>
            <w:tcBorders>
              <w:top w:val="single" w:sz="8" w:space="0" w:color="auto"/>
            </w:tcBorders>
            <w:vAlign w:val="bottom"/>
          </w:tcPr>
          <w:p w14:paraId="1CAF0303" w14:textId="77777777" w:rsidR="003513F1" w:rsidRPr="00C80F8E" w:rsidRDefault="003513F1" w:rsidP="00FD7CA2">
            <w:pPr>
              <w:rPr>
                <w:rFonts w:cstheme="minorHAnsi"/>
                <w:color w:val="000000"/>
                <w:sz w:val="18"/>
                <w:szCs w:val="18"/>
                <w:lang w:val="es-ES_tradnl"/>
              </w:rPr>
            </w:pPr>
            <w:r w:rsidRPr="00C80F8E">
              <w:rPr>
                <w:rFonts w:cstheme="minorHAnsi"/>
                <w:sz w:val="18"/>
                <w:szCs w:val="18"/>
                <w:lang w:val="es-ES_tradnl"/>
              </w:rPr>
              <w:t>60 días</w:t>
            </w:r>
          </w:p>
        </w:tc>
        <w:tc>
          <w:tcPr>
            <w:tcW w:w="1270" w:type="dxa"/>
            <w:tcBorders>
              <w:top w:val="single" w:sz="8" w:space="0" w:color="auto"/>
            </w:tcBorders>
            <w:noWrap/>
            <w:vAlign w:val="bottom"/>
            <w:hideMark/>
          </w:tcPr>
          <w:p w14:paraId="01134463" w14:textId="7324EE92" w:rsidR="003513F1" w:rsidRPr="00C80F8E" w:rsidRDefault="003513F1" w:rsidP="00FD7CA2">
            <w:pPr>
              <w:jc w:val="right"/>
              <w:rPr>
                <w:rFonts w:cstheme="minorHAnsi"/>
                <w:color w:val="000000"/>
                <w:sz w:val="18"/>
                <w:szCs w:val="18"/>
                <w:lang w:val="es-ES_tradnl"/>
              </w:rPr>
            </w:pPr>
            <w:r w:rsidRPr="00C80F8E">
              <w:rPr>
                <w:rFonts w:cstheme="minorHAnsi"/>
                <w:sz w:val="18"/>
                <w:szCs w:val="18"/>
                <w:lang w:val="es-ES_tradnl"/>
              </w:rPr>
              <w:t xml:space="preserve"> </w:t>
            </w:r>
            <w:r w:rsidR="00AC5FC4" w:rsidRPr="00C80F8E">
              <w:rPr>
                <w:rFonts w:cstheme="minorHAnsi"/>
                <w:sz w:val="18"/>
                <w:szCs w:val="18"/>
                <w:lang w:val="es-ES_tradnl"/>
              </w:rPr>
              <w:t>26,150,160.26</w:t>
            </w:r>
            <w:r w:rsidRPr="00C80F8E">
              <w:rPr>
                <w:rFonts w:cstheme="minorHAnsi"/>
                <w:sz w:val="18"/>
                <w:szCs w:val="18"/>
                <w:lang w:val="es-ES_tradnl"/>
              </w:rPr>
              <w:t xml:space="preserve"> </w:t>
            </w:r>
          </w:p>
        </w:tc>
        <w:tc>
          <w:tcPr>
            <w:tcW w:w="1794" w:type="dxa"/>
            <w:tcBorders>
              <w:top w:val="single" w:sz="8" w:space="0" w:color="auto"/>
            </w:tcBorders>
            <w:noWrap/>
            <w:vAlign w:val="bottom"/>
            <w:hideMark/>
          </w:tcPr>
          <w:p w14:paraId="5B334994" w14:textId="08F5E0E1" w:rsidR="003513F1" w:rsidRPr="00C80F8E" w:rsidRDefault="003513F1" w:rsidP="00FD7CA2">
            <w:pPr>
              <w:jc w:val="right"/>
              <w:rPr>
                <w:rFonts w:cstheme="minorHAnsi"/>
                <w:color w:val="000000"/>
                <w:sz w:val="18"/>
                <w:szCs w:val="18"/>
                <w:lang w:val="es-ES_tradnl"/>
              </w:rPr>
            </w:pPr>
            <w:r w:rsidRPr="00C80F8E">
              <w:rPr>
                <w:rFonts w:cstheme="minorHAnsi"/>
                <w:sz w:val="18"/>
                <w:szCs w:val="18"/>
                <w:lang w:val="es-ES_tradnl"/>
              </w:rPr>
              <w:t xml:space="preserve"> </w:t>
            </w:r>
            <w:r w:rsidR="00AC5FC4" w:rsidRPr="00C80F8E">
              <w:rPr>
                <w:rFonts w:cstheme="minorHAnsi"/>
                <w:sz w:val="18"/>
                <w:szCs w:val="18"/>
                <w:lang w:val="es-ES_tradnl"/>
              </w:rPr>
              <w:t>232,997.93</w:t>
            </w:r>
            <w:r w:rsidRPr="00C80F8E">
              <w:rPr>
                <w:rFonts w:cstheme="minorHAnsi"/>
                <w:sz w:val="18"/>
                <w:szCs w:val="18"/>
                <w:lang w:val="es-ES_tradnl"/>
              </w:rPr>
              <w:t xml:space="preserve"> </w:t>
            </w:r>
          </w:p>
        </w:tc>
        <w:tc>
          <w:tcPr>
            <w:tcW w:w="1834" w:type="dxa"/>
            <w:tcBorders>
              <w:top w:val="single" w:sz="8" w:space="0" w:color="auto"/>
            </w:tcBorders>
            <w:noWrap/>
            <w:vAlign w:val="bottom"/>
          </w:tcPr>
          <w:p w14:paraId="599A94C6" w14:textId="14245A63" w:rsidR="003513F1" w:rsidRPr="00C80F8E" w:rsidRDefault="00AC5FC4" w:rsidP="00FD7CA2">
            <w:pPr>
              <w:jc w:val="right"/>
              <w:rPr>
                <w:rFonts w:cstheme="minorHAnsi"/>
                <w:color w:val="000000"/>
                <w:sz w:val="18"/>
                <w:szCs w:val="18"/>
                <w:lang w:val="es-ES_tradnl"/>
              </w:rPr>
            </w:pPr>
            <w:r w:rsidRPr="00C80F8E">
              <w:rPr>
                <w:rFonts w:cstheme="minorHAnsi"/>
                <w:color w:val="000000"/>
                <w:sz w:val="18"/>
                <w:szCs w:val="18"/>
                <w:lang w:val="es-ES_tradnl"/>
              </w:rPr>
              <w:t>26,383,158.19</w:t>
            </w:r>
          </w:p>
        </w:tc>
      </w:tr>
      <w:tr w:rsidR="003513F1" w:rsidRPr="00C80F8E" w14:paraId="08156B40" w14:textId="77777777" w:rsidTr="003513F1">
        <w:trPr>
          <w:trHeight w:val="57"/>
        </w:trPr>
        <w:tc>
          <w:tcPr>
            <w:tcW w:w="1373" w:type="dxa"/>
            <w:noWrap/>
            <w:vAlign w:val="bottom"/>
          </w:tcPr>
          <w:p w14:paraId="2E5343DF" w14:textId="160800CA" w:rsidR="003513F1" w:rsidRPr="00C80F8E" w:rsidRDefault="00AC5FC4" w:rsidP="00FD7CA2">
            <w:pPr>
              <w:rPr>
                <w:rFonts w:cstheme="minorHAnsi"/>
                <w:sz w:val="18"/>
                <w:szCs w:val="18"/>
                <w:lang w:val="es-ES_tradnl"/>
              </w:rPr>
            </w:pPr>
            <w:r w:rsidRPr="00C80F8E">
              <w:rPr>
                <w:rFonts w:cstheme="minorHAnsi"/>
                <w:sz w:val="18"/>
                <w:szCs w:val="18"/>
                <w:lang w:val="es-ES_tradnl"/>
              </w:rPr>
              <w:t>18/01/2024</w:t>
            </w:r>
          </w:p>
        </w:tc>
        <w:tc>
          <w:tcPr>
            <w:tcW w:w="1306" w:type="dxa"/>
            <w:noWrap/>
            <w:vAlign w:val="bottom"/>
          </w:tcPr>
          <w:p w14:paraId="4B5F8200" w14:textId="592480A3" w:rsidR="003513F1" w:rsidRPr="00C80F8E" w:rsidRDefault="00BF199A" w:rsidP="00FD7CA2">
            <w:pPr>
              <w:rPr>
                <w:rFonts w:cstheme="minorHAnsi"/>
                <w:sz w:val="18"/>
                <w:szCs w:val="18"/>
                <w:lang w:val="es-ES_tradnl"/>
              </w:rPr>
            </w:pPr>
            <w:r w:rsidRPr="00C80F8E">
              <w:rPr>
                <w:rFonts w:cstheme="minorHAnsi"/>
                <w:sz w:val="18"/>
                <w:szCs w:val="18"/>
                <w:lang w:val="es-ES_tradnl"/>
              </w:rPr>
              <w:t>MM24022081</w:t>
            </w:r>
            <w:r w:rsidR="00FA4B84" w:rsidRPr="00C80F8E">
              <w:rPr>
                <w:rFonts w:cstheme="minorHAnsi"/>
                <w:sz w:val="18"/>
                <w:szCs w:val="18"/>
                <w:lang w:val="es-ES_tradnl"/>
              </w:rPr>
              <w:t>9</w:t>
            </w:r>
            <w:r w:rsidRPr="00C80F8E">
              <w:rPr>
                <w:rFonts w:cstheme="minorHAnsi"/>
                <w:sz w:val="18"/>
                <w:szCs w:val="18"/>
                <w:lang w:val="es-ES_tradnl"/>
              </w:rPr>
              <w:t>5</w:t>
            </w:r>
          </w:p>
        </w:tc>
        <w:tc>
          <w:tcPr>
            <w:tcW w:w="850" w:type="dxa"/>
            <w:vAlign w:val="bottom"/>
          </w:tcPr>
          <w:p w14:paraId="2A0B187C" w14:textId="1E445D7E" w:rsidR="003513F1" w:rsidRPr="00C80F8E" w:rsidRDefault="003513F1" w:rsidP="00FD7CA2">
            <w:pPr>
              <w:jc w:val="right"/>
              <w:rPr>
                <w:rFonts w:cstheme="minorHAnsi"/>
                <w:color w:val="000000"/>
                <w:sz w:val="18"/>
                <w:szCs w:val="18"/>
                <w:lang w:val="es-ES_tradnl"/>
              </w:rPr>
            </w:pPr>
            <w:r w:rsidRPr="00C80F8E">
              <w:rPr>
                <w:rFonts w:cstheme="minorHAnsi"/>
                <w:sz w:val="18"/>
                <w:szCs w:val="18"/>
                <w:lang w:val="es-ES_tradnl"/>
              </w:rPr>
              <w:t>10.</w:t>
            </w:r>
            <w:r w:rsidR="00FA4B84" w:rsidRPr="00C80F8E">
              <w:rPr>
                <w:rFonts w:cstheme="minorHAnsi"/>
                <w:sz w:val="18"/>
                <w:szCs w:val="18"/>
                <w:lang w:val="es-ES_tradnl"/>
              </w:rPr>
              <w:t>80</w:t>
            </w:r>
            <w:r w:rsidRPr="00C80F8E">
              <w:rPr>
                <w:rFonts w:cstheme="minorHAnsi"/>
                <w:sz w:val="18"/>
                <w:szCs w:val="18"/>
                <w:lang w:val="es-ES_tradnl"/>
              </w:rPr>
              <w:t>%</w:t>
            </w:r>
          </w:p>
        </w:tc>
        <w:tc>
          <w:tcPr>
            <w:tcW w:w="850" w:type="dxa"/>
            <w:vAlign w:val="bottom"/>
          </w:tcPr>
          <w:p w14:paraId="06B728C3" w14:textId="77777777" w:rsidR="003513F1" w:rsidRPr="00C80F8E" w:rsidRDefault="003513F1" w:rsidP="00FD7CA2">
            <w:pPr>
              <w:rPr>
                <w:rFonts w:cstheme="minorHAnsi"/>
                <w:color w:val="000000"/>
                <w:sz w:val="18"/>
                <w:szCs w:val="18"/>
                <w:lang w:val="es-ES_tradnl"/>
              </w:rPr>
            </w:pPr>
            <w:r w:rsidRPr="00C80F8E">
              <w:rPr>
                <w:rFonts w:cstheme="minorHAnsi"/>
                <w:sz w:val="18"/>
                <w:szCs w:val="18"/>
                <w:lang w:val="es-ES_tradnl"/>
              </w:rPr>
              <w:t>60 días</w:t>
            </w:r>
          </w:p>
        </w:tc>
        <w:tc>
          <w:tcPr>
            <w:tcW w:w="1270" w:type="dxa"/>
            <w:noWrap/>
            <w:vAlign w:val="bottom"/>
          </w:tcPr>
          <w:p w14:paraId="3BA380E7" w14:textId="788F404F" w:rsidR="003513F1" w:rsidRPr="00C80F8E" w:rsidRDefault="00FA4B84" w:rsidP="00FD7CA2">
            <w:pPr>
              <w:jc w:val="right"/>
              <w:rPr>
                <w:rFonts w:cstheme="minorHAnsi"/>
                <w:color w:val="000000"/>
                <w:sz w:val="18"/>
                <w:szCs w:val="18"/>
                <w:lang w:val="es-ES_tradnl"/>
              </w:rPr>
            </w:pPr>
            <w:r w:rsidRPr="00C80F8E">
              <w:rPr>
                <w:rFonts w:cstheme="minorHAnsi"/>
                <w:sz w:val="18"/>
                <w:szCs w:val="18"/>
                <w:lang w:val="es-ES_tradnl"/>
              </w:rPr>
              <w:t>27,306,208.53</w:t>
            </w:r>
            <w:r w:rsidR="003513F1" w:rsidRPr="00C80F8E">
              <w:rPr>
                <w:rFonts w:cstheme="minorHAnsi"/>
                <w:sz w:val="18"/>
                <w:szCs w:val="18"/>
                <w:lang w:val="es-ES_tradnl"/>
              </w:rPr>
              <w:t xml:space="preserve"> </w:t>
            </w:r>
          </w:p>
        </w:tc>
        <w:tc>
          <w:tcPr>
            <w:tcW w:w="1794" w:type="dxa"/>
            <w:noWrap/>
            <w:vAlign w:val="bottom"/>
          </w:tcPr>
          <w:p w14:paraId="0A950360" w14:textId="07DE447A" w:rsidR="003513F1" w:rsidRPr="00C80F8E" w:rsidRDefault="00872C09" w:rsidP="00FD7CA2">
            <w:pPr>
              <w:jc w:val="right"/>
              <w:rPr>
                <w:rFonts w:cstheme="minorHAnsi"/>
                <w:color w:val="000000"/>
                <w:sz w:val="18"/>
                <w:szCs w:val="18"/>
                <w:lang w:val="es-ES_tradnl"/>
              </w:rPr>
            </w:pPr>
            <w:r w:rsidRPr="00C80F8E">
              <w:rPr>
                <w:rFonts w:cstheme="minorHAnsi"/>
                <w:sz w:val="18"/>
                <w:szCs w:val="18"/>
                <w:lang w:val="es-ES_tradnl"/>
              </w:rPr>
              <w:t>243</w:t>
            </w:r>
            <w:r w:rsidR="00090768" w:rsidRPr="00C80F8E">
              <w:rPr>
                <w:rFonts w:cstheme="minorHAnsi"/>
                <w:sz w:val="18"/>
                <w:szCs w:val="18"/>
                <w:lang w:val="es-ES_tradnl"/>
              </w:rPr>
              <w:t>,298.32</w:t>
            </w:r>
            <w:r w:rsidR="003513F1" w:rsidRPr="00C80F8E">
              <w:rPr>
                <w:rFonts w:cstheme="minorHAnsi"/>
                <w:sz w:val="18"/>
                <w:szCs w:val="18"/>
                <w:lang w:val="es-ES_tradnl"/>
              </w:rPr>
              <w:t xml:space="preserve"> </w:t>
            </w:r>
          </w:p>
        </w:tc>
        <w:tc>
          <w:tcPr>
            <w:tcW w:w="1834" w:type="dxa"/>
            <w:noWrap/>
            <w:vAlign w:val="bottom"/>
          </w:tcPr>
          <w:p w14:paraId="11AF2B1B" w14:textId="562237FC" w:rsidR="003513F1" w:rsidRPr="00C80F8E" w:rsidRDefault="00D3001A" w:rsidP="00FD7CA2">
            <w:pPr>
              <w:jc w:val="right"/>
              <w:rPr>
                <w:rFonts w:cstheme="minorHAnsi"/>
                <w:color w:val="000000"/>
                <w:sz w:val="18"/>
                <w:szCs w:val="18"/>
                <w:lang w:val="es-ES_tradnl"/>
              </w:rPr>
            </w:pPr>
            <w:r w:rsidRPr="00C80F8E">
              <w:rPr>
                <w:rFonts w:cstheme="minorHAnsi"/>
                <w:color w:val="000000"/>
                <w:sz w:val="18"/>
                <w:szCs w:val="18"/>
                <w:lang w:val="es-ES_tradnl"/>
              </w:rPr>
              <w:t>27,549,506.85</w:t>
            </w:r>
          </w:p>
        </w:tc>
      </w:tr>
      <w:tr w:rsidR="00951B2B" w:rsidRPr="00C80F8E" w14:paraId="34F286BB" w14:textId="77777777" w:rsidTr="00D3001A">
        <w:trPr>
          <w:trHeight w:val="73"/>
        </w:trPr>
        <w:tc>
          <w:tcPr>
            <w:tcW w:w="2679" w:type="dxa"/>
            <w:gridSpan w:val="2"/>
            <w:tcBorders>
              <w:bottom w:val="single" w:sz="4" w:space="0" w:color="auto"/>
              <w:right w:val="single" w:sz="4" w:space="0" w:color="auto"/>
            </w:tcBorders>
            <w:shd w:val="clear" w:color="000000" w:fill="FFFFFF"/>
            <w:noWrap/>
            <w:vAlign w:val="bottom"/>
            <w:hideMark/>
          </w:tcPr>
          <w:p w14:paraId="097A3E06" w14:textId="77777777" w:rsidR="003513F1" w:rsidRPr="00C80F8E" w:rsidRDefault="003513F1" w:rsidP="00FD7CA2">
            <w:pPr>
              <w:rPr>
                <w:rFonts w:cstheme="minorHAnsi"/>
                <w:color w:val="000000"/>
                <w:sz w:val="18"/>
                <w:szCs w:val="18"/>
                <w:lang w:val="es-ES_tradnl"/>
              </w:rPr>
            </w:pPr>
            <w:r w:rsidRPr="00C80F8E">
              <w:rPr>
                <w:rFonts w:cstheme="minorHAnsi"/>
                <w:color w:val="000000"/>
                <w:sz w:val="18"/>
                <w:szCs w:val="18"/>
                <w:lang w:val="es-ES_tradnl"/>
              </w:rPr>
              <w:t>Totales CF Vigentes (RD$)</w:t>
            </w:r>
          </w:p>
        </w:tc>
        <w:tc>
          <w:tcPr>
            <w:tcW w:w="850" w:type="dxa"/>
            <w:tcBorders>
              <w:left w:val="single" w:sz="4" w:space="0" w:color="auto"/>
              <w:bottom w:val="single" w:sz="4" w:space="0" w:color="auto"/>
            </w:tcBorders>
            <w:shd w:val="clear" w:color="000000" w:fill="FFFFFF"/>
          </w:tcPr>
          <w:p w14:paraId="31AA329D" w14:textId="77777777" w:rsidR="003513F1" w:rsidRPr="00C80F8E" w:rsidRDefault="003513F1" w:rsidP="00FD7CA2">
            <w:pPr>
              <w:jc w:val="center"/>
              <w:rPr>
                <w:rFonts w:cstheme="minorHAnsi"/>
                <w:color w:val="000000"/>
                <w:sz w:val="18"/>
                <w:szCs w:val="18"/>
                <w:lang w:val="es-ES_tradnl"/>
              </w:rPr>
            </w:pPr>
          </w:p>
        </w:tc>
        <w:tc>
          <w:tcPr>
            <w:tcW w:w="850" w:type="dxa"/>
            <w:tcBorders>
              <w:bottom w:val="single" w:sz="4" w:space="0" w:color="auto"/>
            </w:tcBorders>
            <w:shd w:val="clear" w:color="000000" w:fill="FFFFFF"/>
            <w:vAlign w:val="bottom"/>
          </w:tcPr>
          <w:p w14:paraId="696480FB" w14:textId="77777777" w:rsidR="003513F1" w:rsidRPr="00C80F8E" w:rsidRDefault="003513F1" w:rsidP="00FD7CA2">
            <w:pPr>
              <w:jc w:val="center"/>
              <w:rPr>
                <w:rFonts w:cstheme="minorHAnsi"/>
                <w:color w:val="000000"/>
                <w:sz w:val="18"/>
                <w:szCs w:val="18"/>
                <w:lang w:val="es-ES_tradnl"/>
              </w:rPr>
            </w:pPr>
          </w:p>
        </w:tc>
        <w:tc>
          <w:tcPr>
            <w:tcW w:w="1270" w:type="dxa"/>
            <w:tcBorders>
              <w:top w:val="single" w:sz="12" w:space="0" w:color="auto"/>
              <w:bottom w:val="double" w:sz="4" w:space="0" w:color="auto"/>
              <w:right w:val="single" w:sz="4" w:space="0" w:color="auto"/>
            </w:tcBorders>
            <w:shd w:val="clear" w:color="000000" w:fill="FFFFFF"/>
            <w:noWrap/>
            <w:vAlign w:val="bottom"/>
          </w:tcPr>
          <w:p w14:paraId="4FB5161E" w14:textId="50949F97" w:rsidR="003513F1" w:rsidRPr="00C80F8E" w:rsidRDefault="00FA4B84" w:rsidP="00FD7CA2">
            <w:pPr>
              <w:jc w:val="right"/>
              <w:rPr>
                <w:rFonts w:cstheme="minorHAnsi"/>
                <w:b/>
                <w:bCs/>
                <w:color w:val="000000"/>
                <w:sz w:val="18"/>
                <w:szCs w:val="18"/>
                <w:lang w:val="es-ES_tradnl"/>
              </w:rPr>
            </w:pPr>
            <w:r w:rsidRPr="00C80F8E">
              <w:rPr>
                <w:rFonts w:cstheme="minorHAnsi"/>
                <w:b/>
                <w:bCs/>
                <w:color w:val="000000"/>
                <w:sz w:val="18"/>
                <w:szCs w:val="18"/>
                <w:lang w:val="es-ES_tradnl"/>
              </w:rPr>
              <w:fldChar w:fldCharType="begin"/>
            </w:r>
            <w:r w:rsidRPr="00C80F8E">
              <w:rPr>
                <w:rFonts w:cstheme="minorHAnsi"/>
                <w:b/>
                <w:bCs/>
                <w:color w:val="000000"/>
                <w:sz w:val="18"/>
                <w:szCs w:val="18"/>
                <w:lang w:val="es-ES_tradnl"/>
              </w:rPr>
              <w:instrText xml:space="preserve"> =SUM(ABOVE) \# "#,##0.00" </w:instrText>
            </w:r>
            <w:r w:rsidRPr="00C80F8E">
              <w:rPr>
                <w:rFonts w:cstheme="minorHAnsi"/>
                <w:b/>
                <w:bCs/>
                <w:color w:val="000000"/>
                <w:sz w:val="18"/>
                <w:szCs w:val="18"/>
                <w:lang w:val="es-ES_tradnl"/>
              </w:rPr>
              <w:fldChar w:fldCharType="separate"/>
            </w:r>
            <w:r w:rsidRPr="00C80F8E">
              <w:rPr>
                <w:rFonts w:cstheme="minorHAnsi"/>
                <w:b/>
                <w:bCs/>
                <w:noProof/>
                <w:color w:val="000000"/>
                <w:sz w:val="18"/>
                <w:szCs w:val="18"/>
                <w:lang w:val="es-ES_tradnl"/>
              </w:rPr>
              <w:t>53,456,368.79</w:t>
            </w:r>
            <w:r w:rsidRPr="00C80F8E">
              <w:rPr>
                <w:rFonts w:cstheme="minorHAnsi"/>
                <w:b/>
                <w:bCs/>
                <w:color w:val="000000"/>
                <w:sz w:val="18"/>
                <w:szCs w:val="18"/>
                <w:lang w:val="es-ES_tradnl"/>
              </w:rPr>
              <w:fldChar w:fldCharType="end"/>
            </w:r>
          </w:p>
        </w:tc>
        <w:tc>
          <w:tcPr>
            <w:tcW w:w="1794" w:type="dxa"/>
            <w:tcBorders>
              <w:top w:val="single" w:sz="12" w:space="0" w:color="auto"/>
              <w:left w:val="single" w:sz="4" w:space="0" w:color="auto"/>
              <w:bottom w:val="double" w:sz="4" w:space="0" w:color="auto"/>
              <w:right w:val="single" w:sz="4" w:space="0" w:color="auto"/>
            </w:tcBorders>
            <w:shd w:val="clear" w:color="000000" w:fill="FFFFFF"/>
            <w:noWrap/>
            <w:vAlign w:val="bottom"/>
          </w:tcPr>
          <w:p w14:paraId="34E99736" w14:textId="435E114B" w:rsidR="003513F1" w:rsidRPr="00C80F8E" w:rsidRDefault="00090768" w:rsidP="00090768">
            <w:pPr>
              <w:jc w:val="right"/>
              <w:rPr>
                <w:rFonts w:cstheme="minorHAnsi"/>
                <w:b/>
                <w:bCs/>
                <w:color w:val="000000"/>
                <w:sz w:val="18"/>
                <w:szCs w:val="18"/>
                <w:lang w:val="es-ES_tradnl"/>
              </w:rPr>
            </w:pPr>
            <w:r w:rsidRPr="00C80F8E">
              <w:rPr>
                <w:rFonts w:cstheme="minorHAnsi"/>
                <w:b/>
                <w:bCs/>
                <w:color w:val="000000"/>
                <w:sz w:val="18"/>
                <w:szCs w:val="18"/>
                <w:lang w:val="es-ES_tradnl"/>
              </w:rPr>
              <w:t>476,296.25</w:t>
            </w:r>
          </w:p>
        </w:tc>
        <w:tc>
          <w:tcPr>
            <w:tcW w:w="1834" w:type="dxa"/>
            <w:tcBorders>
              <w:top w:val="single" w:sz="12" w:space="0" w:color="auto"/>
              <w:left w:val="single" w:sz="4" w:space="0" w:color="auto"/>
              <w:bottom w:val="double" w:sz="4" w:space="0" w:color="auto"/>
              <w:right w:val="single" w:sz="4" w:space="0" w:color="auto"/>
            </w:tcBorders>
            <w:shd w:val="clear" w:color="000000" w:fill="FFFFFF"/>
            <w:noWrap/>
            <w:vAlign w:val="bottom"/>
          </w:tcPr>
          <w:p w14:paraId="005AC2DF" w14:textId="42158977" w:rsidR="003513F1" w:rsidRPr="00C80F8E" w:rsidRDefault="00D3001A" w:rsidP="00D3001A">
            <w:pPr>
              <w:jc w:val="right"/>
              <w:rPr>
                <w:rFonts w:cstheme="minorHAnsi"/>
                <w:b/>
                <w:bCs/>
                <w:color w:val="000000"/>
                <w:sz w:val="18"/>
                <w:szCs w:val="18"/>
                <w:lang w:val="es-ES_tradnl"/>
              </w:rPr>
            </w:pPr>
            <w:r w:rsidRPr="00C80F8E">
              <w:rPr>
                <w:rFonts w:cstheme="minorHAnsi"/>
                <w:b/>
                <w:bCs/>
                <w:color w:val="000000"/>
                <w:sz w:val="18"/>
                <w:szCs w:val="18"/>
                <w:lang w:val="es-ES_tradnl"/>
              </w:rPr>
              <w:t>53,932,665.04</w:t>
            </w:r>
          </w:p>
        </w:tc>
      </w:tr>
      <w:bookmarkEnd w:id="49"/>
    </w:tbl>
    <w:p w14:paraId="1F9DCD0E" w14:textId="77777777" w:rsidR="00BD0DDF" w:rsidRPr="00C80F8E" w:rsidRDefault="00BD0DDF" w:rsidP="00CD1D2E">
      <w:pPr>
        <w:spacing w:line="240" w:lineRule="auto"/>
        <w:contextualSpacing/>
        <w:jc w:val="both"/>
        <w:rPr>
          <w:rFonts w:ascii="Abadi" w:hAnsi="Abadi" w:cstheme="minorHAnsi"/>
          <w:b/>
          <w:sz w:val="20"/>
          <w:szCs w:val="20"/>
          <w:lang w:val="es-ES_tradnl"/>
        </w:rPr>
      </w:pPr>
    </w:p>
    <w:p w14:paraId="0F7A77CA" w14:textId="3A2400CE" w:rsidR="006F2E50" w:rsidRPr="00C80F8E" w:rsidRDefault="006F2E50" w:rsidP="00A7606E">
      <w:pPr>
        <w:pStyle w:val="Prrafodelista"/>
        <w:numPr>
          <w:ilvl w:val="0"/>
          <w:numId w:val="1"/>
        </w:numPr>
        <w:spacing w:line="240" w:lineRule="auto"/>
        <w:ind w:left="425" w:hanging="357"/>
        <w:jc w:val="both"/>
        <w:rPr>
          <w:rFonts w:ascii="Abadi" w:hAnsi="Abadi" w:cstheme="minorHAnsi"/>
          <w:b/>
          <w:sz w:val="20"/>
          <w:szCs w:val="20"/>
          <w:lang w:val="es-ES_tradnl"/>
        </w:rPr>
      </w:pPr>
      <w:r w:rsidRPr="00C80F8E">
        <w:rPr>
          <w:rFonts w:ascii="Abadi" w:hAnsi="Abadi" w:cstheme="minorHAnsi"/>
          <w:b/>
          <w:sz w:val="20"/>
          <w:szCs w:val="20"/>
          <w:lang w:val="es-ES_tradnl"/>
        </w:rPr>
        <w:t>Inversiones a Cort</w:t>
      </w:r>
      <w:r w:rsidR="00787FB0" w:rsidRPr="00C80F8E">
        <w:rPr>
          <w:rFonts w:ascii="Abadi" w:hAnsi="Abadi" w:cstheme="minorHAnsi"/>
          <w:b/>
          <w:sz w:val="20"/>
          <w:szCs w:val="20"/>
          <w:lang w:val="es-ES_tradnl"/>
        </w:rPr>
        <w:t>o</w:t>
      </w:r>
      <w:r w:rsidRPr="00C80F8E">
        <w:rPr>
          <w:rFonts w:ascii="Abadi" w:hAnsi="Abadi" w:cstheme="minorHAnsi"/>
          <w:b/>
          <w:sz w:val="20"/>
          <w:szCs w:val="20"/>
          <w:lang w:val="es-ES_tradnl"/>
        </w:rPr>
        <w:t xml:space="preserve"> Plazo</w:t>
      </w:r>
    </w:p>
    <w:p w14:paraId="537625D8" w14:textId="0BADA580" w:rsidR="0081600B" w:rsidRPr="00C80F8E" w:rsidRDefault="00E27781" w:rsidP="00E27781">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Al </w:t>
      </w:r>
      <w:r w:rsidR="000921F2">
        <w:rPr>
          <w:rFonts w:ascii="Abadi" w:hAnsi="Abadi" w:cstheme="minorHAnsi"/>
          <w:bCs/>
          <w:sz w:val="20"/>
          <w:szCs w:val="20"/>
          <w:lang w:val="es-ES_tradnl"/>
        </w:rPr>
        <w:t>30 de junio</w:t>
      </w:r>
      <w:r w:rsidRPr="00C80F8E">
        <w:rPr>
          <w:rFonts w:ascii="Abadi" w:hAnsi="Abadi" w:cstheme="minorHAnsi"/>
          <w:bCs/>
          <w:sz w:val="20"/>
          <w:szCs w:val="20"/>
          <w:lang w:val="es-ES_tradnl"/>
        </w:rPr>
        <w:t xml:space="preserve"> 2025, el saldo de las inversiones financieras a corto plazo, distintas de los equivalentes de efectivo, ascendió a RD$83,184,404.66, reflejando un incremento absoluto de RD$72,845,172.66 respecto al saldo registrado al </w:t>
      </w:r>
      <w:r w:rsidR="00017BE7">
        <w:rPr>
          <w:rFonts w:ascii="Abadi" w:hAnsi="Abadi" w:cstheme="minorHAnsi"/>
          <w:bCs/>
          <w:sz w:val="20"/>
          <w:szCs w:val="20"/>
          <w:lang w:val="es-ES_tradnl"/>
        </w:rPr>
        <w:t>30 de junio</w:t>
      </w:r>
      <w:r w:rsidRPr="00C80F8E">
        <w:rPr>
          <w:rFonts w:ascii="Abadi" w:hAnsi="Abadi" w:cstheme="minorHAnsi"/>
          <w:bCs/>
          <w:sz w:val="20"/>
          <w:szCs w:val="20"/>
          <w:lang w:val="es-ES_tradnl"/>
        </w:rPr>
        <w:t xml:space="preserve"> de 2024, que fue de RD$10,339,232.00. Esta variación representa un crecimiento relativo del 704.52%.</w:t>
      </w:r>
      <w:r w:rsidR="0081600B" w:rsidRPr="00C80F8E">
        <w:rPr>
          <w:rFonts w:ascii="Abadi" w:hAnsi="Abadi" w:cstheme="minorHAnsi"/>
          <w:bCs/>
          <w:sz w:val="20"/>
          <w:szCs w:val="20"/>
          <w:lang w:val="es-ES_tradnl"/>
        </w:rPr>
        <w:t>, representa movimientos por lo cual, generó intereses en el periodo.</w:t>
      </w:r>
    </w:p>
    <w:tbl>
      <w:tblPr>
        <w:tblpPr w:leftFromText="141" w:rightFromText="141" w:vertAnchor="text" w:horzAnchor="margin" w:tblpY="172"/>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2035"/>
        <w:gridCol w:w="1925"/>
      </w:tblGrid>
      <w:tr w:rsidR="00766165" w:rsidRPr="00C80F8E" w14:paraId="22BE6D23" w14:textId="77777777" w:rsidTr="00766165">
        <w:trPr>
          <w:trHeight w:val="395"/>
        </w:trPr>
        <w:tc>
          <w:tcPr>
            <w:tcW w:w="5320" w:type="dxa"/>
            <w:tcBorders>
              <w:top w:val="single" w:sz="4" w:space="0" w:color="auto"/>
              <w:left w:val="single" w:sz="4" w:space="0" w:color="auto"/>
              <w:bottom w:val="single" w:sz="4" w:space="0" w:color="auto"/>
              <w:right w:val="single" w:sz="4" w:space="0" w:color="auto"/>
            </w:tcBorders>
            <w:shd w:val="solid" w:color="0070C0" w:fill="auto"/>
            <w:noWrap/>
            <w:vAlign w:val="center"/>
            <w:hideMark/>
          </w:tcPr>
          <w:p w14:paraId="0558C2BA" w14:textId="77777777" w:rsidR="00766165" w:rsidRPr="00C80F8E" w:rsidRDefault="00766165" w:rsidP="00766165">
            <w:pPr>
              <w:spacing w:line="240" w:lineRule="auto"/>
              <w:contextualSpacing/>
              <w:jc w:val="center"/>
              <w:rPr>
                <w:rFonts w:ascii="Abadi" w:hAnsi="Abadi" w:cstheme="minorHAnsi"/>
                <w:b/>
                <w:iCs/>
                <w:color w:val="FFFFFF" w:themeColor="background1"/>
                <w:sz w:val="20"/>
                <w:szCs w:val="20"/>
                <w:lang w:val="es-ES_tradnl"/>
              </w:rPr>
            </w:pPr>
            <w:r w:rsidRPr="00C80F8E">
              <w:rPr>
                <w:rFonts w:ascii="Abadi" w:hAnsi="Abadi" w:cstheme="minorHAnsi"/>
                <w:b/>
                <w:iCs/>
                <w:color w:val="FFFFFF" w:themeColor="background1"/>
                <w:sz w:val="20"/>
                <w:szCs w:val="20"/>
                <w:lang w:val="es-ES_tradnl"/>
              </w:rPr>
              <w:t>Descripción</w:t>
            </w:r>
          </w:p>
        </w:tc>
        <w:tc>
          <w:tcPr>
            <w:tcW w:w="2035" w:type="dxa"/>
            <w:tcBorders>
              <w:top w:val="single" w:sz="4" w:space="0" w:color="auto"/>
              <w:left w:val="single" w:sz="4" w:space="0" w:color="auto"/>
              <w:bottom w:val="single" w:sz="4" w:space="0" w:color="auto"/>
              <w:right w:val="single" w:sz="4" w:space="0" w:color="auto"/>
            </w:tcBorders>
            <w:shd w:val="solid" w:color="0070C0" w:fill="auto"/>
            <w:noWrap/>
            <w:vAlign w:val="center"/>
            <w:hideMark/>
          </w:tcPr>
          <w:p w14:paraId="3933064E" w14:textId="77777777" w:rsidR="00766165" w:rsidRPr="00C80F8E" w:rsidRDefault="00766165" w:rsidP="00766165">
            <w:pPr>
              <w:spacing w:line="240" w:lineRule="auto"/>
              <w:contextualSpacing/>
              <w:jc w:val="center"/>
              <w:rPr>
                <w:rFonts w:ascii="Abadi" w:hAnsi="Abadi" w:cstheme="minorHAnsi"/>
                <w:b/>
                <w:iCs/>
                <w:color w:val="FFFFFF" w:themeColor="background1"/>
                <w:sz w:val="20"/>
                <w:szCs w:val="20"/>
                <w:lang w:val="es-ES_tradnl"/>
              </w:rPr>
            </w:pPr>
            <w:r w:rsidRPr="00C80F8E">
              <w:rPr>
                <w:rFonts w:ascii="Abadi" w:hAnsi="Abadi" w:cstheme="minorHAnsi"/>
                <w:b/>
                <w:iCs/>
                <w:color w:val="FFFFFF" w:themeColor="background1"/>
                <w:sz w:val="20"/>
                <w:szCs w:val="20"/>
                <w:lang w:val="es-ES_tradnl"/>
              </w:rPr>
              <w:t>2025</w:t>
            </w:r>
          </w:p>
        </w:tc>
        <w:tc>
          <w:tcPr>
            <w:tcW w:w="1925" w:type="dxa"/>
            <w:tcBorders>
              <w:top w:val="single" w:sz="4" w:space="0" w:color="auto"/>
              <w:left w:val="single" w:sz="4" w:space="0" w:color="auto"/>
              <w:bottom w:val="single" w:sz="4" w:space="0" w:color="auto"/>
              <w:right w:val="single" w:sz="4" w:space="0" w:color="auto"/>
            </w:tcBorders>
            <w:shd w:val="solid" w:color="0070C0" w:fill="auto"/>
            <w:vAlign w:val="center"/>
          </w:tcPr>
          <w:p w14:paraId="7585A2AB" w14:textId="77777777" w:rsidR="00766165" w:rsidRPr="00C80F8E" w:rsidRDefault="00766165" w:rsidP="00766165">
            <w:pPr>
              <w:spacing w:line="240" w:lineRule="auto"/>
              <w:contextualSpacing/>
              <w:jc w:val="center"/>
              <w:rPr>
                <w:rFonts w:ascii="Abadi" w:hAnsi="Abadi" w:cstheme="minorHAnsi"/>
                <w:b/>
                <w:iCs/>
                <w:color w:val="FFFFFF" w:themeColor="background1"/>
                <w:sz w:val="20"/>
                <w:szCs w:val="20"/>
                <w:lang w:val="es-ES_tradnl"/>
              </w:rPr>
            </w:pPr>
            <w:r w:rsidRPr="00C80F8E">
              <w:rPr>
                <w:rFonts w:ascii="Abadi" w:hAnsi="Abadi" w:cstheme="minorHAnsi"/>
                <w:b/>
                <w:iCs/>
                <w:color w:val="FFFFFF" w:themeColor="background1"/>
                <w:sz w:val="20"/>
                <w:szCs w:val="20"/>
                <w:lang w:val="es-ES_tradnl"/>
              </w:rPr>
              <w:t>2024</w:t>
            </w:r>
          </w:p>
        </w:tc>
      </w:tr>
      <w:tr w:rsidR="00766165" w:rsidRPr="00C80F8E" w14:paraId="3DD1D376" w14:textId="77777777" w:rsidTr="00766165">
        <w:trPr>
          <w:trHeight w:val="395"/>
        </w:trPr>
        <w:tc>
          <w:tcPr>
            <w:tcW w:w="5320" w:type="dxa"/>
            <w:noWrap/>
            <w:vAlign w:val="bottom"/>
            <w:hideMark/>
          </w:tcPr>
          <w:p w14:paraId="7E6DAAA8" w14:textId="77777777" w:rsidR="00766165" w:rsidRPr="00C80F8E" w:rsidRDefault="00766165" w:rsidP="00766165">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Banco de Reservas</w:t>
            </w:r>
          </w:p>
        </w:tc>
        <w:tc>
          <w:tcPr>
            <w:tcW w:w="2035" w:type="dxa"/>
            <w:noWrap/>
            <w:vAlign w:val="bottom"/>
          </w:tcPr>
          <w:p w14:paraId="5038F228" w14:textId="1F7A35E0" w:rsidR="00766165" w:rsidRPr="00C80F8E" w:rsidRDefault="009F2F69" w:rsidP="00766165">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83,184,404.66</w:t>
            </w:r>
          </w:p>
        </w:tc>
        <w:tc>
          <w:tcPr>
            <w:tcW w:w="1925" w:type="dxa"/>
            <w:vAlign w:val="bottom"/>
          </w:tcPr>
          <w:p w14:paraId="33AEBD93" w14:textId="77777777" w:rsidR="00766165" w:rsidRPr="00C80F8E" w:rsidRDefault="00766165" w:rsidP="00766165">
            <w:pPr>
              <w:spacing w:line="240" w:lineRule="auto"/>
              <w:contextualSpacing/>
              <w:jc w:val="right"/>
              <w:rPr>
                <w:rFonts w:ascii="Abadi" w:hAnsi="Abadi" w:cstheme="minorHAnsi"/>
                <w:iCs/>
                <w:color w:val="000000"/>
                <w:sz w:val="20"/>
                <w:szCs w:val="20"/>
                <w:lang w:val="es-ES_tradnl"/>
              </w:rPr>
            </w:pPr>
          </w:p>
          <w:p w14:paraId="51AB9076" w14:textId="77777777" w:rsidR="00766165" w:rsidRPr="00C80F8E" w:rsidRDefault="00766165" w:rsidP="00766165">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10,339,232.00</w:t>
            </w:r>
          </w:p>
        </w:tc>
      </w:tr>
      <w:tr w:rsidR="00766165" w:rsidRPr="00C80F8E" w14:paraId="1FFC29A4" w14:textId="77777777" w:rsidTr="00766165">
        <w:trPr>
          <w:trHeight w:val="343"/>
        </w:trPr>
        <w:tc>
          <w:tcPr>
            <w:tcW w:w="5320" w:type="dxa"/>
            <w:noWrap/>
            <w:vAlign w:val="bottom"/>
            <w:hideMark/>
          </w:tcPr>
          <w:p w14:paraId="35AA327B" w14:textId="77777777" w:rsidR="00766165" w:rsidRPr="00C80F8E" w:rsidRDefault="00766165" w:rsidP="00766165">
            <w:pPr>
              <w:spacing w:line="240" w:lineRule="auto"/>
              <w:contextualSpacing/>
              <w:jc w:val="both"/>
              <w:rPr>
                <w:rFonts w:ascii="Abadi" w:hAnsi="Abadi" w:cstheme="minorHAnsi"/>
                <w:b/>
                <w:bCs/>
                <w:iCs/>
                <w:color w:val="000000"/>
                <w:sz w:val="20"/>
                <w:szCs w:val="20"/>
                <w:lang w:val="es-ES_tradnl"/>
              </w:rPr>
            </w:pPr>
            <w:proofErr w:type="gramStart"/>
            <w:r w:rsidRPr="00C80F8E">
              <w:rPr>
                <w:rFonts w:ascii="Abadi" w:hAnsi="Abadi" w:cstheme="minorHAnsi"/>
                <w:b/>
                <w:bCs/>
                <w:iCs/>
                <w:color w:val="000000"/>
                <w:sz w:val="20"/>
                <w:szCs w:val="20"/>
                <w:lang w:val="es-ES_tradnl"/>
              </w:rPr>
              <w:t>Total</w:t>
            </w:r>
            <w:proofErr w:type="gramEnd"/>
            <w:r w:rsidRPr="00C80F8E">
              <w:rPr>
                <w:rFonts w:ascii="Abadi" w:hAnsi="Abadi" w:cstheme="minorHAnsi"/>
                <w:b/>
                <w:bCs/>
                <w:iCs/>
                <w:color w:val="000000"/>
                <w:sz w:val="20"/>
                <w:szCs w:val="20"/>
                <w:lang w:val="es-ES_tradnl"/>
              </w:rPr>
              <w:t xml:space="preserve"> Disponible en Inversiones</w:t>
            </w:r>
          </w:p>
        </w:tc>
        <w:tc>
          <w:tcPr>
            <w:tcW w:w="2035" w:type="dxa"/>
            <w:tcBorders>
              <w:top w:val="single" w:sz="12" w:space="0" w:color="auto"/>
              <w:bottom w:val="double" w:sz="4" w:space="0" w:color="auto"/>
            </w:tcBorders>
            <w:noWrap/>
            <w:vAlign w:val="bottom"/>
          </w:tcPr>
          <w:p w14:paraId="5D5F5FA4" w14:textId="0914BEAA" w:rsidR="00766165" w:rsidRPr="00C80F8E" w:rsidRDefault="00AF5246" w:rsidP="00766165">
            <w:pPr>
              <w:spacing w:line="240" w:lineRule="auto"/>
              <w:contextualSpacing/>
              <w:jc w:val="right"/>
              <w:rPr>
                <w:rFonts w:ascii="Abadi" w:hAnsi="Abadi" w:cstheme="minorHAnsi"/>
                <w:b/>
                <w:iCs/>
                <w:color w:val="000000"/>
                <w:sz w:val="20"/>
                <w:szCs w:val="20"/>
                <w:u w:val="double"/>
                <w:lang w:val="es-ES_tradnl"/>
              </w:rPr>
            </w:pPr>
            <w:r w:rsidRPr="00C80F8E">
              <w:rPr>
                <w:rFonts w:ascii="Abadi" w:hAnsi="Abadi" w:cstheme="minorHAnsi"/>
                <w:b/>
                <w:iCs/>
                <w:color w:val="000000"/>
                <w:sz w:val="20"/>
                <w:szCs w:val="20"/>
                <w:u w:val="double"/>
                <w:lang w:val="es-ES_tradnl"/>
              </w:rPr>
              <w:t>83,184,404.66</w:t>
            </w:r>
          </w:p>
        </w:tc>
        <w:tc>
          <w:tcPr>
            <w:tcW w:w="1925" w:type="dxa"/>
            <w:tcBorders>
              <w:top w:val="single" w:sz="12" w:space="0" w:color="auto"/>
              <w:bottom w:val="double" w:sz="4" w:space="0" w:color="auto"/>
            </w:tcBorders>
            <w:vAlign w:val="bottom"/>
          </w:tcPr>
          <w:p w14:paraId="2EE4F0F1" w14:textId="77777777" w:rsidR="00766165" w:rsidRPr="00C80F8E" w:rsidRDefault="00766165" w:rsidP="00766165">
            <w:pPr>
              <w:spacing w:line="240" w:lineRule="auto"/>
              <w:contextualSpacing/>
              <w:jc w:val="right"/>
              <w:rPr>
                <w:rFonts w:ascii="Abadi" w:hAnsi="Abadi" w:cstheme="minorHAnsi"/>
                <w:b/>
                <w:iCs/>
                <w:color w:val="000000"/>
                <w:sz w:val="20"/>
                <w:szCs w:val="20"/>
                <w:lang w:val="es-ES_tradnl"/>
              </w:rPr>
            </w:pPr>
            <w:r w:rsidRPr="00C80F8E">
              <w:rPr>
                <w:rFonts w:ascii="Abadi" w:hAnsi="Abadi" w:cstheme="minorHAnsi"/>
                <w:b/>
                <w:iCs/>
                <w:color w:val="000000"/>
                <w:sz w:val="20"/>
                <w:szCs w:val="20"/>
                <w:lang w:val="es-ES_tradnl"/>
              </w:rPr>
              <w:t>10,339,232.00</w:t>
            </w:r>
          </w:p>
        </w:tc>
      </w:tr>
    </w:tbl>
    <w:p w14:paraId="10A4194D" w14:textId="77777777" w:rsidR="00766165" w:rsidRPr="00C80F8E" w:rsidRDefault="00766165" w:rsidP="00E408F3">
      <w:pPr>
        <w:spacing w:line="240" w:lineRule="auto"/>
        <w:contextualSpacing/>
        <w:rPr>
          <w:rFonts w:ascii="Abadi" w:hAnsi="Abadi" w:cstheme="minorHAnsi"/>
          <w:bCs/>
          <w:sz w:val="20"/>
          <w:szCs w:val="20"/>
          <w:lang w:val="es-ES_tradnl"/>
        </w:rPr>
      </w:pPr>
    </w:p>
    <w:p w14:paraId="18212EAA" w14:textId="38C305DE" w:rsidR="007D12B8" w:rsidRPr="00C80F8E" w:rsidRDefault="007D12B8" w:rsidP="00C634F5">
      <w:pPr>
        <w:rPr>
          <w:rFonts w:ascii="Abadi" w:hAnsi="Abadi" w:cstheme="minorHAnsi"/>
          <w:b/>
          <w:sz w:val="20"/>
          <w:szCs w:val="20"/>
          <w:lang w:val="es-ES_tradnl"/>
        </w:rPr>
      </w:pPr>
      <w:r w:rsidRPr="00C80F8E">
        <w:rPr>
          <w:rFonts w:ascii="Abadi" w:hAnsi="Abadi" w:cstheme="minorHAnsi"/>
          <w:b/>
          <w:sz w:val="20"/>
          <w:szCs w:val="20"/>
          <w:lang w:val="es-ES_tradnl"/>
        </w:rPr>
        <w:t>Para el 2025</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531"/>
        <w:gridCol w:w="861"/>
        <w:gridCol w:w="850"/>
        <w:gridCol w:w="1528"/>
        <w:gridCol w:w="1693"/>
        <w:gridCol w:w="1598"/>
      </w:tblGrid>
      <w:tr w:rsidR="00BE1669" w:rsidRPr="00C80F8E" w14:paraId="6A7193AF" w14:textId="77777777" w:rsidTr="00B542C0">
        <w:trPr>
          <w:trHeight w:val="169"/>
        </w:trPr>
        <w:tc>
          <w:tcPr>
            <w:tcW w:w="1289" w:type="dxa"/>
            <w:shd w:val="clear" w:color="000000" w:fill="0070C0"/>
            <w:vAlign w:val="bottom"/>
            <w:hideMark/>
          </w:tcPr>
          <w:p w14:paraId="13CB3216" w14:textId="77777777"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Fecha</w:t>
            </w:r>
          </w:p>
        </w:tc>
        <w:tc>
          <w:tcPr>
            <w:tcW w:w="1531" w:type="dxa"/>
            <w:shd w:val="clear" w:color="000000" w:fill="0070C0"/>
            <w:vAlign w:val="bottom"/>
            <w:hideMark/>
          </w:tcPr>
          <w:p w14:paraId="754D3980" w14:textId="77777777"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Descripción</w:t>
            </w:r>
          </w:p>
        </w:tc>
        <w:tc>
          <w:tcPr>
            <w:tcW w:w="861" w:type="dxa"/>
            <w:shd w:val="clear" w:color="000000" w:fill="0070C0"/>
            <w:vAlign w:val="bottom"/>
          </w:tcPr>
          <w:p w14:paraId="38CA1978" w14:textId="70310375" w:rsidR="00BE1669" w:rsidRPr="00C80F8E" w:rsidRDefault="00254313" w:rsidP="00527E73">
            <w:pPr>
              <w:jc w:val="center"/>
              <w:rPr>
                <w:rFonts w:ascii="Abadi" w:hAnsi="Abadi" w:cs="Calibri"/>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 xml:space="preserve">Tasa </w:t>
            </w:r>
            <w:r w:rsidR="00066309" w:rsidRPr="00C80F8E">
              <w:rPr>
                <w:rFonts w:asciiTheme="majorHAnsi" w:hAnsiTheme="majorHAnsi" w:cstheme="majorHAnsi"/>
                <w:b/>
                <w:color w:val="FFFFFF" w:themeColor="background1"/>
                <w:sz w:val="20"/>
                <w:szCs w:val="20"/>
                <w:lang w:val="es-ES_tradnl"/>
              </w:rPr>
              <w:t>Interés</w:t>
            </w:r>
          </w:p>
        </w:tc>
        <w:tc>
          <w:tcPr>
            <w:tcW w:w="850" w:type="dxa"/>
            <w:shd w:val="clear" w:color="000000" w:fill="0070C0"/>
            <w:vAlign w:val="bottom"/>
          </w:tcPr>
          <w:p w14:paraId="2EA3D697" w14:textId="5673EFF9"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Plazo</w:t>
            </w:r>
          </w:p>
        </w:tc>
        <w:tc>
          <w:tcPr>
            <w:tcW w:w="1528" w:type="dxa"/>
            <w:shd w:val="clear" w:color="000000" w:fill="0070C0"/>
            <w:vAlign w:val="bottom"/>
            <w:hideMark/>
          </w:tcPr>
          <w:p w14:paraId="5E6C38B1" w14:textId="77777777"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Monto</w:t>
            </w:r>
          </w:p>
          <w:p w14:paraId="78C7D655" w14:textId="77777777"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Nominal</w:t>
            </w:r>
          </w:p>
        </w:tc>
        <w:tc>
          <w:tcPr>
            <w:tcW w:w="1693" w:type="dxa"/>
            <w:shd w:val="clear" w:color="000000" w:fill="0070C0"/>
            <w:vAlign w:val="bottom"/>
            <w:hideMark/>
          </w:tcPr>
          <w:p w14:paraId="25767AA2" w14:textId="77777777"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Intereses Ganados</w:t>
            </w:r>
          </w:p>
        </w:tc>
        <w:tc>
          <w:tcPr>
            <w:tcW w:w="1598" w:type="dxa"/>
            <w:shd w:val="clear" w:color="000000" w:fill="0070C0"/>
            <w:vAlign w:val="bottom"/>
            <w:hideMark/>
          </w:tcPr>
          <w:p w14:paraId="4D4B6727" w14:textId="77777777"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 xml:space="preserve">Monto </w:t>
            </w:r>
          </w:p>
          <w:p w14:paraId="60C115E3" w14:textId="77777777" w:rsidR="00BE1669" w:rsidRPr="00C80F8E" w:rsidRDefault="00BE1669" w:rsidP="00527E73">
            <w:pPr>
              <w:jc w:val="center"/>
              <w:rPr>
                <w:rFonts w:ascii="Abadi" w:hAnsi="Abadi" w:cs="Calibri"/>
                <w:color w:val="FFFFFF"/>
                <w:sz w:val="20"/>
                <w:szCs w:val="20"/>
                <w:lang w:val="es-ES_tradnl"/>
              </w:rPr>
            </w:pPr>
            <w:r w:rsidRPr="00C80F8E">
              <w:rPr>
                <w:rFonts w:ascii="Abadi" w:hAnsi="Abadi" w:cs="Calibri"/>
                <w:color w:val="FFFFFF"/>
                <w:sz w:val="20"/>
                <w:szCs w:val="20"/>
                <w:lang w:val="es-ES_tradnl"/>
              </w:rPr>
              <w:t>Capitalizado</w:t>
            </w:r>
          </w:p>
        </w:tc>
      </w:tr>
      <w:tr w:rsidR="00BE1669" w:rsidRPr="00C80F8E" w14:paraId="01306BE4" w14:textId="77777777" w:rsidTr="00B542C0">
        <w:trPr>
          <w:trHeight w:val="169"/>
        </w:trPr>
        <w:tc>
          <w:tcPr>
            <w:tcW w:w="1289" w:type="dxa"/>
            <w:noWrap/>
            <w:vAlign w:val="bottom"/>
            <w:hideMark/>
          </w:tcPr>
          <w:p w14:paraId="223B81D5" w14:textId="77777777" w:rsidR="00BE1669" w:rsidRPr="00C80F8E" w:rsidRDefault="00BE1669" w:rsidP="00527E73">
            <w:pPr>
              <w:jc w:val="center"/>
              <w:rPr>
                <w:rFonts w:cstheme="minorHAnsi"/>
                <w:sz w:val="18"/>
                <w:szCs w:val="18"/>
                <w:lang w:val="es-ES_tradnl"/>
              </w:rPr>
            </w:pPr>
            <w:r w:rsidRPr="00C80F8E">
              <w:rPr>
                <w:rFonts w:cstheme="minorHAnsi"/>
                <w:sz w:val="18"/>
                <w:szCs w:val="18"/>
                <w:lang w:val="es-ES_tradnl"/>
              </w:rPr>
              <w:t>20/12/2024</w:t>
            </w:r>
          </w:p>
        </w:tc>
        <w:tc>
          <w:tcPr>
            <w:tcW w:w="1531" w:type="dxa"/>
            <w:noWrap/>
            <w:vAlign w:val="bottom"/>
            <w:hideMark/>
          </w:tcPr>
          <w:p w14:paraId="5FF09960" w14:textId="77777777" w:rsidR="00BE1669" w:rsidRPr="00C80F8E" w:rsidRDefault="00BE1669" w:rsidP="00527E73">
            <w:pPr>
              <w:jc w:val="center"/>
              <w:rPr>
                <w:rFonts w:cstheme="minorHAnsi"/>
                <w:sz w:val="18"/>
                <w:szCs w:val="18"/>
                <w:lang w:val="es-ES_tradnl"/>
              </w:rPr>
            </w:pPr>
            <w:r w:rsidRPr="00C80F8E">
              <w:rPr>
                <w:rFonts w:cstheme="minorHAnsi"/>
                <w:sz w:val="18"/>
                <w:szCs w:val="18"/>
                <w:lang w:val="es-ES_tradnl"/>
              </w:rPr>
              <w:t>9607845627</w:t>
            </w:r>
          </w:p>
        </w:tc>
        <w:tc>
          <w:tcPr>
            <w:tcW w:w="861" w:type="dxa"/>
            <w:vAlign w:val="bottom"/>
          </w:tcPr>
          <w:p w14:paraId="36677A5F" w14:textId="2B2FED95" w:rsidR="00BE1669" w:rsidRPr="00C80F8E" w:rsidRDefault="00C86FEC" w:rsidP="00527E73">
            <w:pPr>
              <w:jc w:val="center"/>
              <w:rPr>
                <w:rFonts w:cstheme="minorHAnsi"/>
                <w:color w:val="000000"/>
                <w:sz w:val="18"/>
                <w:szCs w:val="18"/>
                <w:lang w:val="es-ES_tradnl"/>
              </w:rPr>
            </w:pPr>
            <w:r w:rsidRPr="00C80F8E">
              <w:rPr>
                <w:rFonts w:cstheme="minorHAnsi"/>
                <w:color w:val="000000"/>
                <w:sz w:val="18"/>
                <w:szCs w:val="18"/>
                <w:lang w:val="es-ES_tradnl"/>
              </w:rPr>
              <w:t>10.05%</w:t>
            </w:r>
          </w:p>
        </w:tc>
        <w:tc>
          <w:tcPr>
            <w:tcW w:w="850" w:type="dxa"/>
            <w:vAlign w:val="bottom"/>
          </w:tcPr>
          <w:p w14:paraId="2C38DF47" w14:textId="291F720F"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150 Días</w:t>
            </w:r>
          </w:p>
        </w:tc>
        <w:tc>
          <w:tcPr>
            <w:tcW w:w="1528" w:type="dxa"/>
            <w:noWrap/>
            <w:vAlign w:val="bottom"/>
            <w:hideMark/>
          </w:tcPr>
          <w:p w14:paraId="1CDA73BF"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 xml:space="preserve">40,000,000.00 </w:t>
            </w:r>
          </w:p>
        </w:tc>
        <w:tc>
          <w:tcPr>
            <w:tcW w:w="1693" w:type="dxa"/>
            <w:noWrap/>
            <w:vAlign w:val="bottom"/>
            <w:hideMark/>
          </w:tcPr>
          <w:p w14:paraId="03972EC5"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2,052,557.30</w:t>
            </w:r>
          </w:p>
        </w:tc>
        <w:tc>
          <w:tcPr>
            <w:tcW w:w="1598" w:type="dxa"/>
            <w:noWrap/>
            <w:vAlign w:val="bottom"/>
          </w:tcPr>
          <w:p w14:paraId="59EA00E0"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42,052,557.30</w:t>
            </w:r>
          </w:p>
        </w:tc>
      </w:tr>
      <w:tr w:rsidR="00BE1669" w:rsidRPr="00C80F8E" w14:paraId="6ECB1DD3" w14:textId="77777777" w:rsidTr="00B542C0">
        <w:trPr>
          <w:trHeight w:val="169"/>
        </w:trPr>
        <w:tc>
          <w:tcPr>
            <w:tcW w:w="1289" w:type="dxa"/>
            <w:noWrap/>
            <w:vAlign w:val="bottom"/>
          </w:tcPr>
          <w:p w14:paraId="39A7CD7D" w14:textId="77777777" w:rsidR="00BE1669" w:rsidRPr="00C80F8E" w:rsidRDefault="00BE1669" w:rsidP="00527E73">
            <w:pPr>
              <w:jc w:val="center"/>
              <w:rPr>
                <w:rFonts w:cstheme="minorHAnsi"/>
                <w:sz w:val="18"/>
                <w:szCs w:val="18"/>
                <w:lang w:val="es-ES_tradnl"/>
              </w:rPr>
            </w:pPr>
            <w:r w:rsidRPr="00C80F8E">
              <w:rPr>
                <w:rFonts w:cstheme="minorHAnsi"/>
                <w:sz w:val="18"/>
                <w:szCs w:val="18"/>
                <w:lang w:val="es-ES_tradnl"/>
              </w:rPr>
              <w:t>17/02/2025</w:t>
            </w:r>
          </w:p>
        </w:tc>
        <w:tc>
          <w:tcPr>
            <w:tcW w:w="1531" w:type="dxa"/>
            <w:noWrap/>
            <w:vAlign w:val="bottom"/>
          </w:tcPr>
          <w:p w14:paraId="75830F12" w14:textId="77777777" w:rsidR="00BE1669" w:rsidRPr="00C80F8E" w:rsidRDefault="00BE1669" w:rsidP="00527E73">
            <w:pPr>
              <w:jc w:val="center"/>
              <w:rPr>
                <w:rFonts w:cstheme="minorHAnsi"/>
                <w:sz w:val="18"/>
                <w:szCs w:val="18"/>
                <w:lang w:val="es-ES_tradnl"/>
              </w:rPr>
            </w:pPr>
            <w:r w:rsidRPr="00C80F8E">
              <w:rPr>
                <w:rFonts w:cstheme="minorHAnsi"/>
                <w:sz w:val="18"/>
                <w:szCs w:val="18"/>
                <w:lang w:val="es-ES_tradnl"/>
              </w:rPr>
              <w:t>9608030039</w:t>
            </w:r>
          </w:p>
        </w:tc>
        <w:tc>
          <w:tcPr>
            <w:tcW w:w="861" w:type="dxa"/>
            <w:vAlign w:val="bottom"/>
          </w:tcPr>
          <w:p w14:paraId="1A252734" w14:textId="4142EDCA" w:rsidR="00BE1669" w:rsidRPr="00C80F8E" w:rsidRDefault="00310BC6" w:rsidP="00527E73">
            <w:pPr>
              <w:jc w:val="center"/>
              <w:rPr>
                <w:rFonts w:cstheme="minorHAnsi"/>
                <w:color w:val="000000"/>
                <w:sz w:val="18"/>
                <w:szCs w:val="18"/>
                <w:lang w:val="es-ES_tradnl"/>
              </w:rPr>
            </w:pPr>
            <w:r w:rsidRPr="00C80F8E">
              <w:rPr>
                <w:rFonts w:cstheme="minorHAnsi"/>
                <w:color w:val="000000"/>
                <w:sz w:val="18"/>
                <w:szCs w:val="18"/>
                <w:lang w:val="es-ES_tradnl"/>
              </w:rPr>
              <w:t>10.05%</w:t>
            </w:r>
          </w:p>
        </w:tc>
        <w:tc>
          <w:tcPr>
            <w:tcW w:w="850" w:type="dxa"/>
            <w:vAlign w:val="bottom"/>
          </w:tcPr>
          <w:p w14:paraId="3FE628F7" w14:textId="6A4953EA"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120 Días</w:t>
            </w:r>
          </w:p>
        </w:tc>
        <w:tc>
          <w:tcPr>
            <w:tcW w:w="1528" w:type="dxa"/>
            <w:noWrap/>
            <w:vAlign w:val="bottom"/>
          </w:tcPr>
          <w:p w14:paraId="7BBE5648"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 xml:space="preserve">20,000,000.00 </w:t>
            </w:r>
          </w:p>
        </w:tc>
        <w:tc>
          <w:tcPr>
            <w:tcW w:w="1693" w:type="dxa"/>
            <w:noWrap/>
            <w:vAlign w:val="bottom"/>
          </w:tcPr>
          <w:p w14:paraId="5000FE18"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678,463.92</w:t>
            </w:r>
          </w:p>
        </w:tc>
        <w:tc>
          <w:tcPr>
            <w:tcW w:w="1598" w:type="dxa"/>
            <w:noWrap/>
            <w:vAlign w:val="bottom"/>
          </w:tcPr>
          <w:p w14:paraId="5120B4F6"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20,678,463.92</w:t>
            </w:r>
          </w:p>
        </w:tc>
      </w:tr>
      <w:tr w:rsidR="00BE1669" w:rsidRPr="00C80F8E" w14:paraId="7B4BC234" w14:textId="77777777" w:rsidTr="00B542C0">
        <w:trPr>
          <w:trHeight w:val="169"/>
        </w:trPr>
        <w:tc>
          <w:tcPr>
            <w:tcW w:w="1289" w:type="dxa"/>
            <w:noWrap/>
            <w:vAlign w:val="bottom"/>
            <w:hideMark/>
          </w:tcPr>
          <w:p w14:paraId="01442D67" w14:textId="77777777" w:rsidR="00BE1669" w:rsidRPr="00C80F8E" w:rsidRDefault="00BE1669" w:rsidP="00527E73">
            <w:pPr>
              <w:jc w:val="center"/>
              <w:rPr>
                <w:rFonts w:cstheme="minorHAnsi"/>
                <w:sz w:val="18"/>
                <w:szCs w:val="18"/>
                <w:lang w:val="es-ES_tradnl"/>
              </w:rPr>
            </w:pPr>
            <w:r w:rsidRPr="00C80F8E">
              <w:rPr>
                <w:rFonts w:cstheme="minorHAnsi"/>
                <w:sz w:val="18"/>
                <w:szCs w:val="18"/>
                <w:lang w:val="es-ES_tradnl"/>
              </w:rPr>
              <w:t>13/03/2025</w:t>
            </w:r>
          </w:p>
        </w:tc>
        <w:tc>
          <w:tcPr>
            <w:tcW w:w="1531" w:type="dxa"/>
            <w:noWrap/>
            <w:vAlign w:val="bottom"/>
            <w:hideMark/>
          </w:tcPr>
          <w:p w14:paraId="2F8E84BD" w14:textId="77777777" w:rsidR="00BE1669" w:rsidRPr="00C80F8E" w:rsidRDefault="00BE1669" w:rsidP="00527E73">
            <w:pPr>
              <w:jc w:val="center"/>
              <w:rPr>
                <w:rFonts w:cstheme="minorHAnsi"/>
                <w:sz w:val="18"/>
                <w:szCs w:val="18"/>
                <w:lang w:val="es-ES_tradnl"/>
              </w:rPr>
            </w:pPr>
            <w:r w:rsidRPr="00C80F8E">
              <w:rPr>
                <w:rFonts w:cstheme="minorHAnsi"/>
                <w:sz w:val="18"/>
                <w:szCs w:val="18"/>
                <w:lang w:val="es-ES_tradnl"/>
              </w:rPr>
              <w:t>9608129670</w:t>
            </w:r>
          </w:p>
        </w:tc>
        <w:tc>
          <w:tcPr>
            <w:tcW w:w="861" w:type="dxa"/>
            <w:vAlign w:val="bottom"/>
          </w:tcPr>
          <w:p w14:paraId="4375F406" w14:textId="323C9268" w:rsidR="00BE1669" w:rsidRPr="00C80F8E" w:rsidRDefault="00310BC6" w:rsidP="00527E73">
            <w:pPr>
              <w:jc w:val="center"/>
              <w:rPr>
                <w:rFonts w:cstheme="minorHAnsi"/>
                <w:color w:val="000000"/>
                <w:sz w:val="18"/>
                <w:szCs w:val="18"/>
                <w:lang w:val="es-ES_tradnl"/>
              </w:rPr>
            </w:pPr>
            <w:r w:rsidRPr="00C80F8E">
              <w:rPr>
                <w:rFonts w:cstheme="minorHAnsi"/>
                <w:color w:val="000000"/>
                <w:sz w:val="18"/>
                <w:szCs w:val="18"/>
                <w:lang w:val="es-ES_tradnl"/>
              </w:rPr>
              <w:t>9.00%</w:t>
            </w:r>
          </w:p>
        </w:tc>
        <w:tc>
          <w:tcPr>
            <w:tcW w:w="850" w:type="dxa"/>
            <w:vAlign w:val="bottom"/>
          </w:tcPr>
          <w:p w14:paraId="0987029C" w14:textId="5CA866A0"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120 Días</w:t>
            </w:r>
          </w:p>
        </w:tc>
        <w:tc>
          <w:tcPr>
            <w:tcW w:w="1528" w:type="dxa"/>
            <w:noWrap/>
            <w:vAlign w:val="bottom"/>
            <w:hideMark/>
          </w:tcPr>
          <w:p w14:paraId="1B7BBF47"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 xml:space="preserve">20,000,000.00 </w:t>
            </w:r>
          </w:p>
        </w:tc>
        <w:tc>
          <w:tcPr>
            <w:tcW w:w="1693" w:type="dxa"/>
            <w:noWrap/>
            <w:vAlign w:val="bottom"/>
            <w:hideMark/>
          </w:tcPr>
          <w:p w14:paraId="7565C325"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453,383.44</w:t>
            </w:r>
          </w:p>
        </w:tc>
        <w:tc>
          <w:tcPr>
            <w:tcW w:w="1598" w:type="dxa"/>
            <w:noWrap/>
            <w:vAlign w:val="bottom"/>
            <w:hideMark/>
          </w:tcPr>
          <w:p w14:paraId="5BFC5B69"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20,453,383.44</w:t>
            </w:r>
          </w:p>
        </w:tc>
      </w:tr>
      <w:tr w:rsidR="00BE1669" w:rsidRPr="00C80F8E" w14:paraId="36F38843" w14:textId="77777777" w:rsidTr="00B542C0">
        <w:trPr>
          <w:trHeight w:val="179"/>
        </w:trPr>
        <w:tc>
          <w:tcPr>
            <w:tcW w:w="2820" w:type="dxa"/>
            <w:gridSpan w:val="2"/>
            <w:shd w:val="clear" w:color="000000" w:fill="FFFFFF"/>
            <w:noWrap/>
            <w:vAlign w:val="center"/>
            <w:hideMark/>
          </w:tcPr>
          <w:p w14:paraId="246636C9" w14:textId="77777777" w:rsidR="00BE1669" w:rsidRPr="00C80F8E" w:rsidRDefault="00BE1669" w:rsidP="00527E73">
            <w:pPr>
              <w:rPr>
                <w:rFonts w:cstheme="minorHAnsi"/>
                <w:color w:val="000000"/>
                <w:sz w:val="18"/>
                <w:szCs w:val="18"/>
                <w:lang w:val="es-ES_tradnl"/>
              </w:rPr>
            </w:pPr>
            <w:r w:rsidRPr="00C80F8E">
              <w:rPr>
                <w:rFonts w:cstheme="minorHAnsi"/>
                <w:color w:val="000000"/>
                <w:sz w:val="18"/>
                <w:szCs w:val="18"/>
                <w:lang w:val="es-ES_tradnl"/>
              </w:rPr>
              <w:t>Totales CF Vigentes (RD$)</w:t>
            </w:r>
          </w:p>
        </w:tc>
        <w:tc>
          <w:tcPr>
            <w:tcW w:w="861" w:type="dxa"/>
            <w:shd w:val="clear" w:color="000000" w:fill="FFFFFF"/>
          </w:tcPr>
          <w:p w14:paraId="4146EA47" w14:textId="77777777" w:rsidR="00BE1669" w:rsidRPr="00C80F8E" w:rsidRDefault="00BE1669" w:rsidP="00527E73">
            <w:pPr>
              <w:jc w:val="center"/>
              <w:rPr>
                <w:rFonts w:cstheme="minorHAnsi"/>
                <w:color w:val="000000"/>
                <w:sz w:val="18"/>
                <w:szCs w:val="18"/>
                <w:lang w:val="es-ES_tradnl"/>
              </w:rPr>
            </w:pPr>
          </w:p>
        </w:tc>
        <w:tc>
          <w:tcPr>
            <w:tcW w:w="850" w:type="dxa"/>
            <w:shd w:val="clear" w:color="000000" w:fill="FFFFFF"/>
          </w:tcPr>
          <w:p w14:paraId="00507419" w14:textId="2D701E4B" w:rsidR="00BE1669" w:rsidRPr="00C80F8E" w:rsidRDefault="00BE1669" w:rsidP="00527E73">
            <w:pPr>
              <w:jc w:val="center"/>
              <w:rPr>
                <w:rFonts w:cstheme="minorHAnsi"/>
                <w:color w:val="000000"/>
                <w:sz w:val="18"/>
                <w:szCs w:val="18"/>
                <w:lang w:val="es-ES_tradnl"/>
              </w:rPr>
            </w:pPr>
          </w:p>
        </w:tc>
        <w:tc>
          <w:tcPr>
            <w:tcW w:w="1528" w:type="dxa"/>
            <w:tcBorders>
              <w:bottom w:val="double" w:sz="4" w:space="0" w:color="auto"/>
            </w:tcBorders>
            <w:shd w:val="clear" w:color="000000" w:fill="FFFFFF"/>
            <w:noWrap/>
            <w:vAlign w:val="bottom"/>
            <w:hideMark/>
          </w:tcPr>
          <w:p w14:paraId="2982839A"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80,000,000.00</w:t>
            </w:r>
          </w:p>
        </w:tc>
        <w:tc>
          <w:tcPr>
            <w:tcW w:w="1693" w:type="dxa"/>
            <w:tcBorders>
              <w:bottom w:val="double" w:sz="4" w:space="0" w:color="auto"/>
            </w:tcBorders>
            <w:shd w:val="clear" w:color="000000" w:fill="FFFFFF"/>
            <w:noWrap/>
            <w:vAlign w:val="bottom"/>
            <w:hideMark/>
          </w:tcPr>
          <w:p w14:paraId="0EFF7E58"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3,184,404.66</w:t>
            </w:r>
          </w:p>
        </w:tc>
        <w:tc>
          <w:tcPr>
            <w:tcW w:w="1598" w:type="dxa"/>
            <w:tcBorders>
              <w:bottom w:val="double" w:sz="4" w:space="0" w:color="auto"/>
            </w:tcBorders>
            <w:shd w:val="clear" w:color="000000" w:fill="FFFFFF"/>
            <w:noWrap/>
            <w:vAlign w:val="bottom"/>
            <w:hideMark/>
          </w:tcPr>
          <w:p w14:paraId="7A9EBE32" w14:textId="77777777" w:rsidR="00BE1669" w:rsidRPr="00C80F8E" w:rsidRDefault="00BE1669" w:rsidP="00527E73">
            <w:pPr>
              <w:jc w:val="center"/>
              <w:rPr>
                <w:rFonts w:cstheme="minorHAnsi"/>
                <w:color w:val="000000"/>
                <w:sz w:val="18"/>
                <w:szCs w:val="18"/>
                <w:lang w:val="es-ES_tradnl"/>
              </w:rPr>
            </w:pPr>
            <w:r w:rsidRPr="00C80F8E">
              <w:rPr>
                <w:rFonts w:cstheme="minorHAnsi"/>
                <w:color w:val="000000"/>
                <w:sz w:val="18"/>
                <w:szCs w:val="18"/>
                <w:lang w:val="es-ES_tradnl"/>
              </w:rPr>
              <w:t>83,184,404.66</w:t>
            </w:r>
          </w:p>
        </w:tc>
      </w:tr>
    </w:tbl>
    <w:p w14:paraId="1266A84B" w14:textId="77777777" w:rsidR="00C74C41" w:rsidRPr="00C80F8E" w:rsidRDefault="00C74C41" w:rsidP="00C634F5">
      <w:pPr>
        <w:rPr>
          <w:rFonts w:ascii="Abadi" w:hAnsi="Abadi" w:cstheme="minorHAnsi"/>
          <w:b/>
          <w:sz w:val="20"/>
          <w:szCs w:val="20"/>
          <w:lang w:val="es-ES_tradnl"/>
        </w:rPr>
      </w:pPr>
    </w:p>
    <w:p w14:paraId="5C69FCE7" w14:textId="77777777" w:rsidR="00660DC8" w:rsidRDefault="00660DC8" w:rsidP="00FD7EE4">
      <w:pPr>
        <w:jc w:val="both"/>
        <w:rPr>
          <w:rFonts w:ascii="Abadi" w:hAnsi="Abadi" w:cstheme="minorHAnsi"/>
          <w:b/>
          <w:sz w:val="20"/>
          <w:szCs w:val="20"/>
          <w:lang w:val="es-ES_tradnl"/>
        </w:rPr>
      </w:pPr>
    </w:p>
    <w:p w14:paraId="58A882E8" w14:textId="77777777" w:rsidR="00660DC8" w:rsidRDefault="00660DC8" w:rsidP="00FD7EE4">
      <w:pPr>
        <w:jc w:val="both"/>
        <w:rPr>
          <w:rFonts w:ascii="Abadi" w:hAnsi="Abadi" w:cstheme="minorHAnsi"/>
          <w:b/>
          <w:sz w:val="20"/>
          <w:szCs w:val="20"/>
          <w:lang w:val="es-ES_tradnl"/>
        </w:rPr>
      </w:pPr>
    </w:p>
    <w:p w14:paraId="1198123A" w14:textId="77777777" w:rsidR="00660DC8" w:rsidRDefault="00660DC8" w:rsidP="00FD7EE4">
      <w:pPr>
        <w:jc w:val="both"/>
        <w:rPr>
          <w:rFonts w:ascii="Abadi" w:hAnsi="Abadi" w:cstheme="minorHAnsi"/>
          <w:b/>
          <w:sz w:val="20"/>
          <w:szCs w:val="20"/>
          <w:lang w:val="es-ES_tradnl"/>
        </w:rPr>
      </w:pPr>
    </w:p>
    <w:p w14:paraId="19808775" w14:textId="53B2E8C1" w:rsidR="007D12B8" w:rsidRPr="00C80F8E" w:rsidRDefault="007D12B8" w:rsidP="00FD7EE4">
      <w:pPr>
        <w:jc w:val="both"/>
        <w:rPr>
          <w:rFonts w:ascii="Abadi" w:hAnsi="Abadi" w:cstheme="minorHAnsi"/>
          <w:b/>
          <w:sz w:val="20"/>
          <w:szCs w:val="20"/>
          <w:lang w:val="es-ES_tradnl"/>
        </w:rPr>
      </w:pPr>
      <w:r w:rsidRPr="00C80F8E">
        <w:rPr>
          <w:rFonts w:ascii="Abadi" w:hAnsi="Abadi" w:cstheme="minorHAnsi"/>
          <w:b/>
          <w:sz w:val="20"/>
          <w:szCs w:val="20"/>
          <w:lang w:val="es-ES_tradnl"/>
        </w:rPr>
        <w:lastRenderedPageBreak/>
        <w:t>Para el 2024</w:t>
      </w:r>
    </w:p>
    <w:p w14:paraId="2D685554" w14:textId="017D9F15" w:rsidR="00CA6D8F" w:rsidRPr="00C80F8E" w:rsidRDefault="00CA6D8F" w:rsidP="00CA6D8F">
      <w:pPr>
        <w:spacing w:line="240" w:lineRule="auto"/>
        <w:contextualSpacing/>
        <w:jc w:val="both"/>
        <w:rPr>
          <w:rFonts w:ascii="Abadi" w:hAnsi="Abadi" w:cstheme="minorHAnsi"/>
          <w:b/>
          <w:bCs/>
          <w:iCs/>
          <w:color w:val="000000"/>
          <w:sz w:val="20"/>
          <w:szCs w:val="20"/>
          <w:lang w:val="es-ES_tradnl"/>
        </w:rPr>
      </w:pPr>
      <w:r w:rsidRPr="00C80F8E">
        <w:rPr>
          <w:rFonts w:ascii="Abadi" w:hAnsi="Abadi" w:cstheme="minorHAnsi"/>
          <w:b/>
          <w:bCs/>
          <w:iCs/>
          <w:color w:val="000000"/>
          <w:sz w:val="20"/>
          <w:szCs w:val="20"/>
          <w:lang w:val="es-ES_tradnl"/>
        </w:rPr>
        <w:t>Banco de Reservas</w:t>
      </w:r>
    </w:p>
    <w:p w14:paraId="6061FF47" w14:textId="2FCA0655" w:rsidR="003050D4" w:rsidRPr="00C80F8E" w:rsidRDefault="003050D4" w:rsidP="00F20C1E">
      <w:pPr>
        <w:spacing w:line="240" w:lineRule="auto"/>
        <w:contextualSpacing/>
        <w:jc w:val="both"/>
        <w:rPr>
          <w:noProof/>
          <w:sz w:val="16"/>
          <w:szCs w:val="16"/>
          <w:lang w:val="es-ES_tradnl"/>
        </w:rPr>
      </w:pPr>
    </w:p>
    <w:tbl>
      <w:tblPr>
        <w:tblW w:w="92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3"/>
        <w:gridCol w:w="1433"/>
        <w:gridCol w:w="813"/>
        <w:gridCol w:w="761"/>
        <w:gridCol w:w="1559"/>
        <w:gridCol w:w="1701"/>
        <w:gridCol w:w="1637"/>
      </w:tblGrid>
      <w:tr w:rsidR="006D1B3D" w:rsidRPr="00C80F8E" w14:paraId="498F8711" w14:textId="77777777" w:rsidTr="008B42F7">
        <w:trPr>
          <w:trHeight w:val="625"/>
        </w:trPr>
        <w:tc>
          <w:tcPr>
            <w:tcW w:w="1373" w:type="dxa"/>
            <w:tcBorders>
              <w:left w:val="single" w:sz="12" w:space="0" w:color="auto"/>
              <w:right w:val="single" w:sz="12" w:space="0" w:color="auto"/>
            </w:tcBorders>
            <w:shd w:val="clear" w:color="000000" w:fill="0070C0"/>
            <w:vAlign w:val="bottom"/>
            <w:hideMark/>
          </w:tcPr>
          <w:p w14:paraId="0A4971B2" w14:textId="77777777"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Fecha</w:t>
            </w:r>
          </w:p>
        </w:tc>
        <w:tc>
          <w:tcPr>
            <w:tcW w:w="1433" w:type="dxa"/>
            <w:tcBorders>
              <w:left w:val="single" w:sz="12" w:space="0" w:color="auto"/>
              <w:right w:val="single" w:sz="12" w:space="0" w:color="auto"/>
            </w:tcBorders>
            <w:shd w:val="clear" w:color="000000" w:fill="0070C0"/>
            <w:vAlign w:val="bottom"/>
            <w:hideMark/>
          </w:tcPr>
          <w:p w14:paraId="3E9B802C" w14:textId="77777777"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Descripción</w:t>
            </w:r>
          </w:p>
        </w:tc>
        <w:tc>
          <w:tcPr>
            <w:tcW w:w="813" w:type="dxa"/>
            <w:tcBorders>
              <w:left w:val="single" w:sz="12" w:space="0" w:color="auto"/>
              <w:right w:val="single" w:sz="12" w:space="0" w:color="auto"/>
            </w:tcBorders>
            <w:shd w:val="clear" w:color="000000" w:fill="0070C0"/>
            <w:vAlign w:val="bottom"/>
          </w:tcPr>
          <w:p w14:paraId="6E90EEE6" w14:textId="7C647FA3"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 xml:space="preserve">Tasa </w:t>
            </w:r>
            <w:r w:rsidR="00066309" w:rsidRPr="00C80F8E">
              <w:rPr>
                <w:rFonts w:asciiTheme="majorHAnsi" w:hAnsiTheme="majorHAnsi" w:cstheme="majorHAnsi"/>
                <w:b/>
                <w:color w:val="FFFFFF" w:themeColor="background1"/>
                <w:sz w:val="20"/>
                <w:szCs w:val="20"/>
                <w:lang w:val="es-ES_tradnl"/>
              </w:rPr>
              <w:t>Interés</w:t>
            </w:r>
          </w:p>
        </w:tc>
        <w:tc>
          <w:tcPr>
            <w:tcW w:w="761" w:type="dxa"/>
            <w:tcBorders>
              <w:left w:val="single" w:sz="12" w:space="0" w:color="auto"/>
            </w:tcBorders>
            <w:shd w:val="clear" w:color="000000" w:fill="0070C0"/>
            <w:vAlign w:val="bottom"/>
          </w:tcPr>
          <w:p w14:paraId="4929E25E" w14:textId="77777777"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Plazo</w:t>
            </w:r>
          </w:p>
        </w:tc>
        <w:tc>
          <w:tcPr>
            <w:tcW w:w="1559" w:type="dxa"/>
            <w:shd w:val="clear" w:color="000000" w:fill="0070C0"/>
            <w:vAlign w:val="bottom"/>
            <w:hideMark/>
          </w:tcPr>
          <w:p w14:paraId="66DE10E1" w14:textId="77777777"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Monto</w:t>
            </w:r>
          </w:p>
          <w:p w14:paraId="703A74AE" w14:textId="77777777"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Nominal</w:t>
            </w:r>
          </w:p>
        </w:tc>
        <w:tc>
          <w:tcPr>
            <w:tcW w:w="1701" w:type="dxa"/>
            <w:shd w:val="clear" w:color="000000" w:fill="0070C0"/>
            <w:vAlign w:val="bottom"/>
            <w:hideMark/>
          </w:tcPr>
          <w:p w14:paraId="0D9B3B76" w14:textId="77777777"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Intereses Ganados</w:t>
            </w:r>
          </w:p>
        </w:tc>
        <w:tc>
          <w:tcPr>
            <w:tcW w:w="1637" w:type="dxa"/>
            <w:shd w:val="clear" w:color="000000" w:fill="0070C0"/>
            <w:vAlign w:val="bottom"/>
            <w:hideMark/>
          </w:tcPr>
          <w:p w14:paraId="1744E846" w14:textId="77777777" w:rsidR="006D1B3D" w:rsidRPr="00C80F8E" w:rsidRDefault="006D1B3D" w:rsidP="00066309">
            <w:pPr>
              <w:jc w:val="center"/>
              <w:rPr>
                <w:rFonts w:asciiTheme="majorHAnsi" w:hAnsiTheme="majorHAnsi" w:cstheme="majorHAnsi"/>
                <w:b/>
                <w:color w:val="FFFFFF" w:themeColor="background1"/>
                <w:sz w:val="20"/>
                <w:szCs w:val="20"/>
                <w:lang w:val="es-ES_tradnl"/>
              </w:rPr>
            </w:pPr>
            <w:r w:rsidRPr="00C80F8E">
              <w:rPr>
                <w:rFonts w:asciiTheme="majorHAnsi" w:hAnsiTheme="majorHAnsi" w:cstheme="majorHAnsi"/>
                <w:b/>
                <w:color w:val="FFFFFF" w:themeColor="background1"/>
                <w:sz w:val="20"/>
                <w:szCs w:val="20"/>
                <w:lang w:val="es-ES_tradnl"/>
              </w:rPr>
              <w:t>Monto Capitalizado</w:t>
            </w:r>
          </w:p>
        </w:tc>
      </w:tr>
      <w:tr w:rsidR="00F2125C" w:rsidRPr="00C80F8E" w14:paraId="5C873632" w14:textId="77777777" w:rsidTr="00F2125C">
        <w:trPr>
          <w:trHeight w:val="40"/>
        </w:trPr>
        <w:tc>
          <w:tcPr>
            <w:tcW w:w="1373" w:type="dxa"/>
            <w:tcBorders>
              <w:left w:val="single" w:sz="12" w:space="0" w:color="auto"/>
              <w:bottom w:val="single" w:sz="12" w:space="0" w:color="auto"/>
              <w:right w:val="single" w:sz="12" w:space="0" w:color="auto"/>
            </w:tcBorders>
            <w:noWrap/>
            <w:vAlign w:val="bottom"/>
            <w:hideMark/>
          </w:tcPr>
          <w:p w14:paraId="223D7583" w14:textId="56928418" w:rsidR="006D1B3D" w:rsidRPr="00C80F8E" w:rsidRDefault="00814819" w:rsidP="006D1B3D">
            <w:pPr>
              <w:jc w:val="both"/>
              <w:rPr>
                <w:rFonts w:asciiTheme="majorHAnsi" w:hAnsiTheme="majorHAnsi" w:cstheme="majorHAnsi"/>
                <w:bCs/>
                <w:sz w:val="20"/>
                <w:szCs w:val="20"/>
                <w:lang w:val="es-ES_tradnl"/>
              </w:rPr>
            </w:pPr>
            <w:r w:rsidRPr="00C80F8E">
              <w:rPr>
                <w:rFonts w:asciiTheme="majorHAnsi" w:hAnsiTheme="majorHAnsi" w:cstheme="majorHAnsi"/>
                <w:bCs/>
                <w:sz w:val="20"/>
                <w:szCs w:val="20"/>
                <w:lang w:val="es-ES_tradnl"/>
              </w:rPr>
              <w:t>21/02/2024</w:t>
            </w:r>
          </w:p>
        </w:tc>
        <w:tc>
          <w:tcPr>
            <w:tcW w:w="1433" w:type="dxa"/>
            <w:tcBorders>
              <w:left w:val="single" w:sz="12" w:space="0" w:color="auto"/>
              <w:bottom w:val="single" w:sz="12" w:space="0" w:color="auto"/>
              <w:right w:val="single" w:sz="12" w:space="0" w:color="auto"/>
            </w:tcBorders>
            <w:noWrap/>
            <w:vAlign w:val="bottom"/>
            <w:hideMark/>
          </w:tcPr>
          <w:p w14:paraId="2AD1F05E" w14:textId="64175BF7" w:rsidR="006D1B3D" w:rsidRPr="00C80F8E" w:rsidRDefault="00814819" w:rsidP="006D1B3D">
            <w:pPr>
              <w:jc w:val="both"/>
              <w:rPr>
                <w:rFonts w:asciiTheme="majorHAnsi" w:hAnsiTheme="majorHAnsi" w:cstheme="majorHAnsi"/>
                <w:bCs/>
                <w:sz w:val="20"/>
                <w:szCs w:val="20"/>
                <w:lang w:val="es-ES_tradnl"/>
              </w:rPr>
            </w:pPr>
            <w:r w:rsidRPr="00C80F8E">
              <w:rPr>
                <w:rFonts w:asciiTheme="majorHAnsi" w:hAnsiTheme="majorHAnsi" w:cstheme="majorHAnsi"/>
                <w:bCs/>
                <w:sz w:val="20"/>
                <w:szCs w:val="20"/>
                <w:lang w:val="es-ES_tradnl"/>
              </w:rPr>
              <w:t>9606795696</w:t>
            </w:r>
          </w:p>
        </w:tc>
        <w:tc>
          <w:tcPr>
            <w:tcW w:w="813" w:type="dxa"/>
            <w:tcBorders>
              <w:left w:val="single" w:sz="12" w:space="0" w:color="auto"/>
              <w:bottom w:val="single" w:sz="12" w:space="0" w:color="auto"/>
              <w:right w:val="single" w:sz="12" w:space="0" w:color="auto"/>
            </w:tcBorders>
            <w:vAlign w:val="bottom"/>
          </w:tcPr>
          <w:p w14:paraId="52FF0E74" w14:textId="3855F319" w:rsidR="006D1B3D" w:rsidRPr="00C80F8E" w:rsidRDefault="006D1B3D" w:rsidP="006D1B3D">
            <w:pPr>
              <w:jc w:val="both"/>
              <w:rPr>
                <w:rFonts w:asciiTheme="majorHAnsi" w:hAnsiTheme="majorHAnsi" w:cstheme="majorHAnsi"/>
                <w:bCs/>
                <w:sz w:val="20"/>
                <w:szCs w:val="20"/>
                <w:lang w:val="es-ES_tradnl"/>
              </w:rPr>
            </w:pPr>
            <w:r w:rsidRPr="00C80F8E">
              <w:rPr>
                <w:rFonts w:asciiTheme="majorHAnsi" w:hAnsiTheme="majorHAnsi" w:cstheme="majorHAnsi"/>
                <w:bCs/>
                <w:sz w:val="20"/>
                <w:szCs w:val="20"/>
                <w:lang w:val="es-ES_tradnl"/>
              </w:rPr>
              <w:t>10.</w:t>
            </w:r>
            <w:r w:rsidR="009246CD" w:rsidRPr="00C80F8E">
              <w:rPr>
                <w:rFonts w:asciiTheme="majorHAnsi" w:hAnsiTheme="majorHAnsi" w:cstheme="majorHAnsi"/>
                <w:bCs/>
                <w:sz w:val="20"/>
                <w:szCs w:val="20"/>
                <w:lang w:val="es-ES_tradnl"/>
              </w:rPr>
              <w:t>05</w:t>
            </w:r>
            <w:r w:rsidRPr="00C80F8E">
              <w:rPr>
                <w:rFonts w:asciiTheme="majorHAnsi" w:hAnsiTheme="majorHAnsi" w:cstheme="majorHAnsi"/>
                <w:bCs/>
                <w:sz w:val="20"/>
                <w:szCs w:val="20"/>
                <w:lang w:val="es-ES_tradnl"/>
              </w:rPr>
              <w:t>%</w:t>
            </w:r>
          </w:p>
        </w:tc>
        <w:tc>
          <w:tcPr>
            <w:tcW w:w="761" w:type="dxa"/>
            <w:tcBorders>
              <w:left w:val="single" w:sz="12" w:space="0" w:color="auto"/>
              <w:bottom w:val="single" w:sz="12" w:space="0" w:color="auto"/>
              <w:right w:val="single" w:sz="12" w:space="0" w:color="auto"/>
            </w:tcBorders>
            <w:vAlign w:val="bottom"/>
          </w:tcPr>
          <w:p w14:paraId="1DDA5CD9" w14:textId="5FA836C3" w:rsidR="006D1B3D" w:rsidRPr="00C80F8E" w:rsidRDefault="009246CD" w:rsidP="006D1B3D">
            <w:pPr>
              <w:jc w:val="both"/>
              <w:rPr>
                <w:rFonts w:asciiTheme="majorHAnsi" w:hAnsiTheme="majorHAnsi" w:cstheme="majorHAnsi"/>
                <w:bCs/>
                <w:sz w:val="20"/>
                <w:szCs w:val="20"/>
                <w:lang w:val="es-ES_tradnl"/>
              </w:rPr>
            </w:pPr>
            <w:r w:rsidRPr="00C80F8E">
              <w:rPr>
                <w:rFonts w:asciiTheme="majorHAnsi" w:hAnsiTheme="majorHAnsi" w:cstheme="majorHAnsi"/>
                <w:bCs/>
                <w:sz w:val="20"/>
                <w:szCs w:val="20"/>
                <w:lang w:val="es-ES_tradnl"/>
              </w:rPr>
              <w:t>150</w:t>
            </w:r>
            <w:r w:rsidR="006D1B3D" w:rsidRPr="00C80F8E">
              <w:rPr>
                <w:rFonts w:asciiTheme="majorHAnsi" w:hAnsiTheme="majorHAnsi" w:cstheme="majorHAnsi"/>
                <w:bCs/>
                <w:sz w:val="20"/>
                <w:szCs w:val="20"/>
                <w:lang w:val="es-ES_tradnl"/>
              </w:rPr>
              <w:t xml:space="preserve"> días</w:t>
            </w:r>
          </w:p>
        </w:tc>
        <w:tc>
          <w:tcPr>
            <w:tcW w:w="1559" w:type="dxa"/>
            <w:tcBorders>
              <w:left w:val="single" w:sz="12" w:space="0" w:color="auto"/>
              <w:bottom w:val="single" w:sz="12" w:space="0" w:color="auto"/>
              <w:right w:val="single" w:sz="12" w:space="0" w:color="auto"/>
            </w:tcBorders>
            <w:noWrap/>
            <w:vAlign w:val="bottom"/>
            <w:hideMark/>
          </w:tcPr>
          <w:p w14:paraId="5D28A91A" w14:textId="744F0367" w:rsidR="006D1B3D" w:rsidRPr="00C80F8E" w:rsidRDefault="00651D8D" w:rsidP="005322DA">
            <w:pPr>
              <w:jc w:val="right"/>
              <w:rPr>
                <w:rFonts w:asciiTheme="majorHAnsi" w:hAnsiTheme="majorHAnsi" w:cstheme="majorHAnsi"/>
                <w:bCs/>
                <w:sz w:val="20"/>
                <w:szCs w:val="20"/>
                <w:lang w:val="es-ES_tradnl"/>
              </w:rPr>
            </w:pPr>
            <w:r w:rsidRPr="00C80F8E">
              <w:rPr>
                <w:rFonts w:asciiTheme="majorHAnsi" w:hAnsiTheme="majorHAnsi" w:cstheme="majorHAnsi"/>
                <w:bCs/>
                <w:sz w:val="20"/>
                <w:szCs w:val="20"/>
                <w:lang w:val="es-ES_tradnl"/>
              </w:rPr>
              <w:t>10,253,360.09</w:t>
            </w:r>
          </w:p>
        </w:tc>
        <w:tc>
          <w:tcPr>
            <w:tcW w:w="1701" w:type="dxa"/>
            <w:tcBorders>
              <w:left w:val="single" w:sz="12" w:space="0" w:color="auto"/>
              <w:bottom w:val="single" w:sz="12" w:space="0" w:color="auto"/>
              <w:right w:val="single" w:sz="12" w:space="0" w:color="auto"/>
            </w:tcBorders>
            <w:noWrap/>
            <w:vAlign w:val="bottom"/>
            <w:hideMark/>
          </w:tcPr>
          <w:p w14:paraId="7BEC3417" w14:textId="7FF33434" w:rsidR="006D1B3D" w:rsidRPr="00C80F8E" w:rsidRDefault="006D1B3D" w:rsidP="005322DA">
            <w:pPr>
              <w:jc w:val="right"/>
              <w:rPr>
                <w:rFonts w:asciiTheme="majorHAnsi" w:hAnsiTheme="majorHAnsi" w:cstheme="majorHAnsi"/>
                <w:bCs/>
                <w:sz w:val="20"/>
                <w:szCs w:val="20"/>
                <w:lang w:val="es-ES_tradnl"/>
              </w:rPr>
            </w:pPr>
            <w:r w:rsidRPr="00C80F8E">
              <w:rPr>
                <w:rFonts w:asciiTheme="majorHAnsi" w:hAnsiTheme="majorHAnsi" w:cstheme="majorHAnsi"/>
                <w:bCs/>
                <w:sz w:val="20"/>
                <w:szCs w:val="20"/>
                <w:lang w:val="es-ES_tradnl"/>
              </w:rPr>
              <w:t xml:space="preserve"> </w:t>
            </w:r>
            <w:r w:rsidR="00651D8D" w:rsidRPr="00C80F8E">
              <w:rPr>
                <w:rFonts w:asciiTheme="majorHAnsi" w:hAnsiTheme="majorHAnsi" w:cstheme="majorHAnsi"/>
                <w:bCs/>
                <w:sz w:val="20"/>
                <w:szCs w:val="20"/>
                <w:lang w:val="es-ES_tradnl"/>
              </w:rPr>
              <w:t>85</w:t>
            </w:r>
            <w:r w:rsidR="00006803" w:rsidRPr="00C80F8E">
              <w:rPr>
                <w:rFonts w:asciiTheme="majorHAnsi" w:hAnsiTheme="majorHAnsi" w:cstheme="majorHAnsi"/>
                <w:bCs/>
                <w:sz w:val="20"/>
                <w:szCs w:val="20"/>
                <w:lang w:val="es-ES_tradnl"/>
              </w:rPr>
              <w:t>,</w:t>
            </w:r>
            <w:r w:rsidR="00651D8D" w:rsidRPr="00C80F8E">
              <w:rPr>
                <w:rFonts w:asciiTheme="majorHAnsi" w:hAnsiTheme="majorHAnsi" w:cstheme="majorHAnsi"/>
                <w:bCs/>
                <w:sz w:val="20"/>
                <w:szCs w:val="20"/>
                <w:lang w:val="es-ES_tradnl"/>
              </w:rPr>
              <w:t>871.89</w:t>
            </w:r>
            <w:r w:rsidRPr="00C80F8E">
              <w:rPr>
                <w:rFonts w:asciiTheme="majorHAnsi" w:hAnsiTheme="majorHAnsi" w:cstheme="majorHAnsi"/>
                <w:bCs/>
                <w:sz w:val="20"/>
                <w:szCs w:val="20"/>
                <w:lang w:val="es-ES_tradnl"/>
              </w:rPr>
              <w:t xml:space="preserve"> </w:t>
            </w:r>
          </w:p>
        </w:tc>
        <w:tc>
          <w:tcPr>
            <w:tcW w:w="1637" w:type="dxa"/>
            <w:tcBorders>
              <w:left w:val="single" w:sz="12" w:space="0" w:color="auto"/>
              <w:bottom w:val="single" w:sz="12" w:space="0" w:color="auto"/>
              <w:right w:val="single" w:sz="12" w:space="0" w:color="auto"/>
            </w:tcBorders>
            <w:noWrap/>
            <w:vAlign w:val="bottom"/>
          </w:tcPr>
          <w:p w14:paraId="2F975AE8" w14:textId="43D0E944" w:rsidR="006D1B3D" w:rsidRPr="00C80F8E" w:rsidRDefault="00651D8D" w:rsidP="005322DA">
            <w:pPr>
              <w:jc w:val="right"/>
              <w:rPr>
                <w:rFonts w:asciiTheme="majorHAnsi" w:hAnsiTheme="majorHAnsi" w:cstheme="majorHAnsi"/>
                <w:bCs/>
                <w:sz w:val="20"/>
                <w:szCs w:val="20"/>
                <w:lang w:val="es-ES_tradnl"/>
              </w:rPr>
            </w:pPr>
            <w:r w:rsidRPr="00C80F8E">
              <w:rPr>
                <w:rFonts w:asciiTheme="majorHAnsi" w:hAnsiTheme="majorHAnsi" w:cstheme="majorHAnsi"/>
                <w:bCs/>
                <w:sz w:val="20"/>
                <w:szCs w:val="20"/>
                <w:lang w:val="es-ES_tradnl"/>
              </w:rPr>
              <w:t>10</w:t>
            </w:r>
            <w:r w:rsidR="005322DA" w:rsidRPr="00C80F8E">
              <w:rPr>
                <w:rFonts w:asciiTheme="majorHAnsi" w:hAnsiTheme="majorHAnsi" w:cstheme="majorHAnsi"/>
                <w:bCs/>
                <w:sz w:val="20"/>
                <w:szCs w:val="20"/>
                <w:lang w:val="es-ES_tradnl"/>
              </w:rPr>
              <w:t>,</w:t>
            </w:r>
            <w:r w:rsidRPr="00C80F8E">
              <w:rPr>
                <w:rFonts w:asciiTheme="majorHAnsi" w:hAnsiTheme="majorHAnsi" w:cstheme="majorHAnsi"/>
                <w:bCs/>
                <w:sz w:val="20"/>
                <w:szCs w:val="20"/>
                <w:lang w:val="es-ES_tradnl"/>
              </w:rPr>
              <w:t>339</w:t>
            </w:r>
            <w:r w:rsidR="005322DA" w:rsidRPr="00C80F8E">
              <w:rPr>
                <w:rFonts w:asciiTheme="majorHAnsi" w:hAnsiTheme="majorHAnsi" w:cstheme="majorHAnsi"/>
                <w:bCs/>
                <w:sz w:val="20"/>
                <w:szCs w:val="20"/>
                <w:lang w:val="es-ES_tradnl"/>
              </w:rPr>
              <w:t>,231.98</w:t>
            </w:r>
          </w:p>
        </w:tc>
      </w:tr>
      <w:tr w:rsidR="00F2125C" w:rsidRPr="00C80F8E" w14:paraId="2C8FDFBB" w14:textId="77777777" w:rsidTr="00F2125C">
        <w:trPr>
          <w:trHeight w:val="73"/>
        </w:trPr>
        <w:tc>
          <w:tcPr>
            <w:tcW w:w="2806" w:type="dxa"/>
            <w:gridSpan w:val="2"/>
            <w:tcBorders>
              <w:left w:val="single" w:sz="12" w:space="0" w:color="auto"/>
              <w:right w:val="single" w:sz="12" w:space="0" w:color="auto"/>
            </w:tcBorders>
            <w:shd w:val="clear" w:color="000000" w:fill="FFFFFF"/>
            <w:noWrap/>
            <w:vAlign w:val="bottom"/>
            <w:hideMark/>
          </w:tcPr>
          <w:p w14:paraId="2C457F52" w14:textId="77777777" w:rsidR="006D1B3D" w:rsidRPr="00C80F8E" w:rsidRDefault="006D1B3D" w:rsidP="006D1B3D">
            <w:pPr>
              <w:jc w:val="both"/>
              <w:rPr>
                <w:rFonts w:asciiTheme="majorHAnsi" w:hAnsiTheme="majorHAnsi" w:cstheme="majorHAnsi"/>
                <w:b/>
                <w:sz w:val="20"/>
                <w:szCs w:val="20"/>
                <w:lang w:val="es-ES_tradnl"/>
              </w:rPr>
            </w:pPr>
            <w:r w:rsidRPr="00C80F8E">
              <w:rPr>
                <w:rFonts w:asciiTheme="majorHAnsi" w:hAnsiTheme="majorHAnsi" w:cstheme="majorHAnsi"/>
                <w:b/>
                <w:sz w:val="20"/>
                <w:szCs w:val="20"/>
                <w:lang w:val="es-ES_tradnl"/>
              </w:rPr>
              <w:t>Totales CF Vigentes (RD$)</w:t>
            </w:r>
          </w:p>
        </w:tc>
        <w:tc>
          <w:tcPr>
            <w:tcW w:w="813" w:type="dxa"/>
            <w:tcBorders>
              <w:top w:val="single" w:sz="12" w:space="0" w:color="auto"/>
              <w:left w:val="single" w:sz="12" w:space="0" w:color="auto"/>
              <w:right w:val="single" w:sz="12" w:space="0" w:color="auto"/>
            </w:tcBorders>
            <w:shd w:val="clear" w:color="000000" w:fill="FFFFFF"/>
          </w:tcPr>
          <w:p w14:paraId="0132486E" w14:textId="77777777" w:rsidR="006D1B3D" w:rsidRPr="00C80F8E" w:rsidRDefault="006D1B3D" w:rsidP="006D1B3D">
            <w:pPr>
              <w:jc w:val="both"/>
              <w:rPr>
                <w:rFonts w:asciiTheme="majorHAnsi" w:hAnsiTheme="majorHAnsi" w:cstheme="majorHAnsi"/>
                <w:b/>
                <w:sz w:val="20"/>
                <w:szCs w:val="20"/>
                <w:lang w:val="es-ES_tradnl"/>
              </w:rPr>
            </w:pPr>
          </w:p>
        </w:tc>
        <w:tc>
          <w:tcPr>
            <w:tcW w:w="761" w:type="dxa"/>
            <w:tcBorders>
              <w:top w:val="single" w:sz="12" w:space="0" w:color="auto"/>
              <w:left w:val="single" w:sz="12" w:space="0" w:color="auto"/>
              <w:right w:val="single" w:sz="12" w:space="0" w:color="auto"/>
            </w:tcBorders>
            <w:shd w:val="clear" w:color="000000" w:fill="FFFFFF"/>
            <w:vAlign w:val="bottom"/>
          </w:tcPr>
          <w:p w14:paraId="01115D0F" w14:textId="77777777" w:rsidR="006D1B3D" w:rsidRPr="00C80F8E" w:rsidRDefault="006D1B3D" w:rsidP="006D1B3D">
            <w:pPr>
              <w:jc w:val="both"/>
              <w:rPr>
                <w:rFonts w:asciiTheme="majorHAnsi" w:hAnsiTheme="majorHAnsi" w:cstheme="majorHAnsi"/>
                <w:b/>
                <w:sz w:val="20"/>
                <w:szCs w:val="20"/>
                <w:lang w:val="es-ES_tradnl"/>
              </w:rPr>
            </w:pPr>
          </w:p>
        </w:tc>
        <w:tc>
          <w:tcPr>
            <w:tcW w:w="1559" w:type="dxa"/>
            <w:tcBorders>
              <w:top w:val="single" w:sz="12" w:space="0" w:color="auto"/>
              <w:left w:val="single" w:sz="12" w:space="0" w:color="auto"/>
              <w:right w:val="single" w:sz="12" w:space="0" w:color="auto"/>
            </w:tcBorders>
            <w:shd w:val="clear" w:color="000000" w:fill="FFFFFF"/>
            <w:noWrap/>
            <w:vAlign w:val="bottom"/>
          </w:tcPr>
          <w:p w14:paraId="122BCBAA" w14:textId="0A0BC0E1" w:rsidR="006D1B3D" w:rsidRPr="00C80F8E" w:rsidRDefault="00006803" w:rsidP="00006803">
            <w:pPr>
              <w:jc w:val="right"/>
              <w:rPr>
                <w:rFonts w:asciiTheme="majorHAnsi" w:hAnsiTheme="majorHAnsi" w:cstheme="majorHAnsi"/>
                <w:b/>
                <w:bCs/>
                <w:sz w:val="20"/>
                <w:szCs w:val="20"/>
                <w:lang w:val="es-ES_tradnl"/>
              </w:rPr>
            </w:pPr>
            <w:r w:rsidRPr="00C80F8E">
              <w:rPr>
                <w:rFonts w:asciiTheme="majorHAnsi" w:hAnsiTheme="majorHAnsi" w:cstheme="majorHAnsi"/>
                <w:b/>
                <w:bCs/>
                <w:sz w:val="20"/>
                <w:szCs w:val="20"/>
                <w:lang w:val="es-ES_tradnl"/>
              </w:rPr>
              <w:t>10,253,360.09</w:t>
            </w:r>
          </w:p>
        </w:tc>
        <w:tc>
          <w:tcPr>
            <w:tcW w:w="1701" w:type="dxa"/>
            <w:tcBorders>
              <w:top w:val="single" w:sz="12" w:space="0" w:color="auto"/>
              <w:left w:val="single" w:sz="12" w:space="0" w:color="auto"/>
              <w:right w:val="single" w:sz="12" w:space="0" w:color="auto"/>
            </w:tcBorders>
            <w:shd w:val="clear" w:color="000000" w:fill="FFFFFF"/>
            <w:noWrap/>
            <w:vAlign w:val="bottom"/>
          </w:tcPr>
          <w:p w14:paraId="3530F51C" w14:textId="7247496D" w:rsidR="006D1B3D" w:rsidRPr="00C80F8E" w:rsidRDefault="00006803" w:rsidP="00006803">
            <w:pPr>
              <w:jc w:val="right"/>
              <w:rPr>
                <w:rFonts w:asciiTheme="majorHAnsi" w:hAnsiTheme="majorHAnsi" w:cstheme="majorHAnsi"/>
                <w:b/>
                <w:bCs/>
                <w:sz w:val="20"/>
                <w:szCs w:val="20"/>
                <w:lang w:val="es-ES_tradnl"/>
              </w:rPr>
            </w:pPr>
            <w:r w:rsidRPr="00C80F8E">
              <w:rPr>
                <w:rFonts w:asciiTheme="majorHAnsi" w:hAnsiTheme="majorHAnsi" w:cstheme="majorHAnsi"/>
                <w:b/>
                <w:bCs/>
                <w:sz w:val="20"/>
                <w:szCs w:val="20"/>
                <w:lang w:val="es-ES_tradnl"/>
              </w:rPr>
              <w:t>85,871.89</w:t>
            </w:r>
          </w:p>
        </w:tc>
        <w:tc>
          <w:tcPr>
            <w:tcW w:w="1637" w:type="dxa"/>
            <w:tcBorders>
              <w:top w:val="single" w:sz="12" w:space="0" w:color="auto"/>
              <w:left w:val="single" w:sz="12" w:space="0" w:color="auto"/>
              <w:right w:val="single" w:sz="12" w:space="0" w:color="auto"/>
            </w:tcBorders>
            <w:shd w:val="clear" w:color="000000" w:fill="FFFFFF"/>
            <w:noWrap/>
            <w:vAlign w:val="bottom"/>
          </w:tcPr>
          <w:p w14:paraId="32381524" w14:textId="43D2696D" w:rsidR="006D1B3D" w:rsidRPr="00C80F8E" w:rsidRDefault="009D58C5" w:rsidP="00006803">
            <w:pPr>
              <w:jc w:val="right"/>
              <w:rPr>
                <w:rFonts w:asciiTheme="majorHAnsi" w:hAnsiTheme="majorHAnsi" w:cstheme="majorHAnsi"/>
                <w:b/>
                <w:bCs/>
                <w:sz w:val="20"/>
                <w:szCs w:val="20"/>
                <w:lang w:val="es-ES_tradnl"/>
              </w:rPr>
            </w:pPr>
            <w:r w:rsidRPr="00C80F8E">
              <w:rPr>
                <w:rFonts w:asciiTheme="majorHAnsi" w:hAnsiTheme="majorHAnsi" w:cstheme="majorHAnsi"/>
                <w:b/>
                <w:bCs/>
                <w:sz w:val="20"/>
                <w:szCs w:val="20"/>
                <w:lang w:val="es-ES_tradnl"/>
              </w:rPr>
              <w:t>10,339,231.98</w:t>
            </w:r>
          </w:p>
        </w:tc>
      </w:tr>
    </w:tbl>
    <w:p w14:paraId="3F7A721F" w14:textId="07A16293" w:rsidR="00B34FEA" w:rsidRPr="00C80F8E" w:rsidRDefault="00B34FEA" w:rsidP="00F20C1E">
      <w:pPr>
        <w:spacing w:line="240" w:lineRule="auto"/>
        <w:contextualSpacing/>
        <w:jc w:val="both"/>
        <w:rPr>
          <w:rFonts w:ascii="Abadi" w:hAnsi="Abadi" w:cstheme="minorHAnsi"/>
          <w:b/>
          <w:sz w:val="16"/>
          <w:szCs w:val="16"/>
          <w:lang w:val="es-ES_tradnl"/>
        </w:rPr>
      </w:pPr>
    </w:p>
    <w:p w14:paraId="7F6D82D2" w14:textId="1BE1C620" w:rsidR="001938FC" w:rsidRPr="00C80F8E" w:rsidRDefault="00FC7F7C" w:rsidP="00A7606E">
      <w:pPr>
        <w:pStyle w:val="Prrafodelista"/>
        <w:numPr>
          <w:ilvl w:val="0"/>
          <w:numId w:val="1"/>
        </w:numPr>
        <w:ind w:left="426"/>
        <w:jc w:val="both"/>
        <w:rPr>
          <w:rFonts w:ascii="Abadi" w:hAnsi="Abadi" w:cstheme="minorHAnsi"/>
          <w:b/>
          <w:sz w:val="20"/>
          <w:szCs w:val="20"/>
          <w:lang w:val="es-ES_tradnl"/>
        </w:rPr>
      </w:pPr>
      <w:r w:rsidRPr="00C80F8E">
        <w:rPr>
          <w:rFonts w:ascii="Abadi" w:hAnsi="Abadi" w:cstheme="minorHAnsi"/>
          <w:b/>
          <w:sz w:val="20"/>
          <w:szCs w:val="20"/>
          <w:lang w:val="es-ES_tradnl"/>
        </w:rPr>
        <w:t>Cuentas por cobrar a corto plazo</w:t>
      </w:r>
    </w:p>
    <w:p w14:paraId="4760766B" w14:textId="04FC5120" w:rsidR="00F65DD9" w:rsidRPr="00C80F8E" w:rsidRDefault="00F65DD9" w:rsidP="00F65DD9">
      <w:pPr>
        <w:spacing w:line="240" w:lineRule="auto"/>
        <w:ind w:left="68"/>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Al </w:t>
      </w:r>
      <w:r w:rsidR="005D1D4B" w:rsidRPr="00C80F8E">
        <w:rPr>
          <w:rFonts w:ascii="Abadi" w:hAnsi="Abadi" w:cstheme="minorHAnsi"/>
          <w:bCs/>
          <w:sz w:val="20"/>
          <w:szCs w:val="20"/>
          <w:lang w:val="es-ES_tradnl"/>
        </w:rPr>
        <w:t>30 de junio</w:t>
      </w:r>
      <w:r w:rsidRPr="00C80F8E">
        <w:rPr>
          <w:rFonts w:ascii="Abadi" w:hAnsi="Abadi" w:cstheme="minorHAnsi"/>
          <w:bCs/>
          <w:sz w:val="20"/>
          <w:szCs w:val="20"/>
          <w:lang w:val="es-ES_tradnl"/>
        </w:rPr>
        <w:t xml:space="preserve"> de 2025, el total de las cuentas por cobrar a corto plazo ascendió a RD$8,713,231.66, lo que representa un incremento absoluto de RD$6,337,881.71 respecto al saldo registrado al </w:t>
      </w:r>
      <w:r w:rsidR="005D1D4B" w:rsidRPr="00C80F8E">
        <w:rPr>
          <w:rFonts w:ascii="Abadi" w:hAnsi="Abadi" w:cstheme="minorHAnsi"/>
          <w:bCs/>
          <w:sz w:val="20"/>
          <w:szCs w:val="20"/>
          <w:lang w:val="es-ES_tradnl"/>
        </w:rPr>
        <w:t>30</w:t>
      </w:r>
      <w:r w:rsidR="00C01893" w:rsidRPr="00C80F8E">
        <w:rPr>
          <w:rFonts w:ascii="Abadi" w:hAnsi="Abadi" w:cstheme="minorHAnsi"/>
          <w:bCs/>
          <w:sz w:val="20"/>
          <w:szCs w:val="20"/>
          <w:lang w:val="es-ES_tradnl"/>
        </w:rPr>
        <w:t xml:space="preserve"> de junio</w:t>
      </w:r>
      <w:r w:rsidRPr="00C80F8E">
        <w:rPr>
          <w:rFonts w:ascii="Abadi" w:hAnsi="Abadi" w:cstheme="minorHAnsi"/>
          <w:bCs/>
          <w:sz w:val="20"/>
          <w:szCs w:val="20"/>
          <w:lang w:val="es-ES_tradnl"/>
        </w:rPr>
        <w:t xml:space="preserve"> de 2024, que fue de RD$2,375,349.95. Esta variación equivale a un aumento relativo del 266.74%.</w:t>
      </w:r>
    </w:p>
    <w:p w14:paraId="5AABB3D2" w14:textId="77777777" w:rsidR="00F65DD9" w:rsidRPr="00C80F8E" w:rsidRDefault="00F65DD9" w:rsidP="00F65DD9">
      <w:pPr>
        <w:spacing w:line="240" w:lineRule="auto"/>
        <w:ind w:left="68"/>
        <w:contextualSpacing/>
        <w:jc w:val="both"/>
        <w:rPr>
          <w:rFonts w:ascii="Abadi" w:hAnsi="Abadi" w:cstheme="minorHAnsi"/>
          <w:bCs/>
          <w:sz w:val="20"/>
          <w:szCs w:val="20"/>
          <w:lang w:val="es-ES_tradnl"/>
        </w:rPr>
      </w:pPr>
    </w:p>
    <w:p w14:paraId="081E6E09" w14:textId="77777777" w:rsidR="00F65DD9" w:rsidRPr="00C80F8E" w:rsidRDefault="00F65DD9" w:rsidP="00F65DD9">
      <w:pPr>
        <w:spacing w:line="240" w:lineRule="auto"/>
        <w:ind w:left="68"/>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El incremento se debe principalmente al aumento en los anticipos a proveedores, los cuales pasaron de RD$1,308,445.37 en 2024 a RD$8,683,141.25 en 2025, reflejando una variación absoluta de RD$7,374,695.88 y una variación relativa del 563.73%, lo que evidencia un mayor volumen de contrataciones y compromisos institucionales pendientes de ejecución al cierre del ejercicio.</w:t>
      </w:r>
    </w:p>
    <w:p w14:paraId="12701495" w14:textId="77777777" w:rsidR="00F65DD9" w:rsidRPr="00C80F8E" w:rsidRDefault="00F65DD9" w:rsidP="00F65DD9">
      <w:pPr>
        <w:spacing w:line="240" w:lineRule="auto"/>
        <w:ind w:left="68"/>
        <w:contextualSpacing/>
        <w:jc w:val="both"/>
        <w:rPr>
          <w:rFonts w:ascii="Abadi" w:hAnsi="Abadi" w:cstheme="minorHAnsi"/>
          <w:bCs/>
          <w:sz w:val="20"/>
          <w:szCs w:val="20"/>
          <w:lang w:val="es-ES_tradnl"/>
        </w:rPr>
      </w:pPr>
    </w:p>
    <w:p w14:paraId="515C2B1C" w14:textId="77777777" w:rsidR="00407E66" w:rsidRPr="00C80F8E" w:rsidRDefault="00F65DD9" w:rsidP="00F65DD9">
      <w:pPr>
        <w:spacing w:line="240" w:lineRule="auto"/>
        <w:ind w:left="68"/>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Por su parte, las cuentas por cobrar a funcionarios y empleados se redujeron levemente en RD$2,767.86, al pasar de RD$32,858.27 en 2024 a RD$30,090.41 en 2025, mientras que el saldo correspondiente a otras cuentas por cobrar, que ascendía a RD$1,034,046.31 en el ejercicio anterior, fue completamente recuperado o dado de baja, registrando RD$0.00 en el ejercicio 2025</w:t>
      </w:r>
      <w:r w:rsidR="00B16E1E" w:rsidRPr="00C80F8E">
        <w:rPr>
          <w:rFonts w:ascii="Abadi" w:hAnsi="Abadi" w:cstheme="minorHAnsi"/>
          <w:bCs/>
          <w:sz w:val="20"/>
          <w:szCs w:val="20"/>
          <w:lang w:val="es-ES_tradnl"/>
        </w:rPr>
        <w:t>.</w:t>
      </w:r>
    </w:p>
    <w:p w14:paraId="5791C47B" w14:textId="77777777" w:rsidR="002C22EF" w:rsidRPr="00C80F8E" w:rsidRDefault="002C22EF" w:rsidP="001419A4">
      <w:pPr>
        <w:spacing w:line="240" w:lineRule="auto"/>
        <w:ind w:left="68"/>
        <w:contextualSpacing/>
        <w:jc w:val="both"/>
        <w:rPr>
          <w:rFonts w:ascii="Abadi" w:hAnsi="Abadi" w:cstheme="minorHAnsi"/>
          <w:bCs/>
          <w:sz w:val="16"/>
          <w:szCs w:val="16"/>
          <w:lang w:val="es-ES_tradnl"/>
        </w:rPr>
      </w:pPr>
    </w:p>
    <w:tbl>
      <w:tblPr>
        <w:tblStyle w:val="Tablaconcuadrcula"/>
        <w:tblW w:w="0" w:type="auto"/>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18"/>
        <w:gridCol w:w="1984"/>
        <w:gridCol w:w="1982"/>
      </w:tblGrid>
      <w:tr w:rsidR="001938FC" w:rsidRPr="00C80F8E" w14:paraId="0593BB7A" w14:textId="77777777" w:rsidTr="004E6A05">
        <w:tc>
          <w:tcPr>
            <w:tcW w:w="5318" w:type="dxa"/>
            <w:shd w:val="clear" w:color="auto" w:fill="0070C0"/>
          </w:tcPr>
          <w:p w14:paraId="21486C31" w14:textId="77777777" w:rsidR="001938FC" w:rsidRPr="00C80F8E" w:rsidRDefault="001938FC" w:rsidP="00494E1F">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1984" w:type="dxa"/>
            <w:shd w:val="clear" w:color="auto" w:fill="0070C0"/>
          </w:tcPr>
          <w:p w14:paraId="726B64F2" w14:textId="6459EED7" w:rsidR="001938FC" w:rsidRPr="00C80F8E" w:rsidRDefault="009339A8" w:rsidP="00494E1F">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w:t>
            </w:r>
            <w:r w:rsidR="00EA10FC" w:rsidRPr="00C80F8E">
              <w:rPr>
                <w:rFonts w:ascii="Abadi" w:hAnsi="Abadi" w:cstheme="minorHAnsi"/>
                <w:b/>
                <w:bCs/>
                <w:color w:val="FFFFFF" w:themeColor="background1"/>
                <w:sz w:val="20"/>
                <w:szCs w:val="20"/>
                <w:lang w:val="es-ES_tradnl"/>
              </w:rPr>
              <w:t>202</w:t>
            </w:r>
            <w:r w:rsidR="00246BB6" w:rsidRPr="00C80F8E">
              <w:rPr>
                <w:rFonts w:ascii="Abadi" w:hAnsi="Abadi" w:cstheme="minorHAnsi"/>
                <w:b/>
                <w:bCs/>
                <w:color w:val="FFFFFF" w:themeColor="background1"/>
                <w:sz w:val="20"/>
                <w:szCs w:val="20"/>
                <w:lang w:val="es-ES_tradnl"/>
              </w:rPr>
              <w:t>5</w:t>
            </w:r>
          </w:p>
        </w:tc>
        <w:tc>
          <w:tcPr>
            <w:tcW w:w="1982" w:type="dxa"/>
            <w:shd w:val="clear" w:color="auto" w:fill="0070C0"/>
          </w:tcPr>
          <w:p w14:paraId="1D0C8D41" w14:textId="70E5ECDA" w:rsidR="001938FC" w:rsidRPr="00C80F8E" w:rsidRDefault="009339A8" w:rsidP="00494E1F">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w:t>
            </w:r>
            <w:r w:rsidR="004567A7" w:rsidRPr="00C80F8E">
              <w:rPr>
                <w:rFonts w:ascii="Abadi" w:hAnsi="Abadi" w:cstheme="minorHAnsi"/>
                <w:b/>
                <w:bCs/>
                <w:color w:val="FFFFFF" w:themeColor="background1"/>
                <w:sz w:val="20"/>
                <w:szCs w:val="20"/>
                <w:lang w:val="es-ES_tradnl"/>
              </w:rPr>
              <w:t>202</w:t>
            </w:r>
            <w:r w:rsidR="00246BB6" w:rsidRPr="00C80F8E">
              <w:rPr>
                <w:rFonts w:ascii="Abadi" w:hAnsi="Abadi" w:cstheme="minorHAnsi"/>
                <w:b/>
                <w:bCs/>
                <w:color w:val="FFFFFF" w:themeColor="background1"/>
                <w:sz w:val="20"/>
                <w:szCs w:val="20"/>
                <w:lang w:val="es-ES_tradnl"/>
              </w:rPr>
              <w:t>4</w:t>
            </w:r>
          </w:p>
        </w:tc>
      </w:tr>
      <w:tr w:rsidR="0008385C" w:rsidRPr="00C80F8E" w14:paraId="11A9B612" w14:textId="77777777" w:rsidTr="004E6A05">
        <w:tc>
          <w:tcPr>
            <w:tcW w:w="5318" w:type="dxa"/>
          </w:tcPr>
          <w:p w14:paraId="7D7884B2" w14:textId="49220D72" w:rsidR="0008385C" w:rsidRPr="00C80F8E" w:rsidRDefault="00881509" w:rsidP="00494E1F">
            <w:pPr>
              <w:contextualSpacing/>
              <w:jc w:val="both"/>
              <w:rPr>
                <w:rFonts w:ascii="Abadi" w:hAnsi="Abadi" w:cstheme="minorHAnsi"/>
                <w:sz w:val="20"/>
                <w:szCs w:val="20"/>
                <w:lang w:val="es-ES_tradnl"/>
              </w:rPr>
            </w:pPr>
            <w:r w:rsidRPr="00C80F8E">
              <w:rPr>
                <w:rFonts w:ascii="Abadi" w:hAnsi="Abadi" w:cstheme="minorHAnsi"/>
                <w:sz w:val="20"/>
                <w:szCs w:val="20"/>
                <w:lang w:val="es-ES_tradnl"/>
              </w:rPr>
              <w:t>Cuentas por Cobrar Funcionarios y Empleados</w:t>
            </w:r>
          </w:p>
        </w:tc>
        <w:tc>
          <w:tcPr>
            <w:tcW w:w="1984" w:type="dxa"/>
          </w:tcPr>
          <w:p w14:paraId="13878A3E" w14:textId="633B2701" w:rsidR="0008385C" w:rsidRPr="00C80F8E" w:rsidRDefault="000354B0" w:rsidP="00494E1F">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30</w:t>
            </w:r>
            <w:r w:rsidR="00DE726F" w:rsidRPr="00C80F8E">
              <w:rPr>
                <w:rFonts w:ascii="Abadi" w:hAnsi="Abadi" w:cstheme="minorHAnsi"/>
                <w:sz w:val="20"/>
                <w:szCs w:val="20"/>
                <w:lang w:val="es-ES_tradnl"/>
              </w:rPr>
              <w:t>,</w:t>
            </w:r>
            <w:r w:rsidRPr="00C80F8E">
              <w:rPr>
                <w:rFonts w:ascii="Abadi" w:hAnsi="Abadi" w:cstheme="minorHAnsi"/>
                <w:sz w:val="20"/>
                <w:szCs w:val="20"/>
                <w:lang w:val="es-ES_tradnl"/>
              </w:rPr>
              <w:t>090.41</w:t>
            </w:r>
          </w:p>
        </w:tc>
        <w:tc>
          <w:tcPr>
            <w:tcW w:w="1982" w:type="dxa"/>
          </w:tcPr>
          <w:p w14:paraId="51CF1D73" w14:textId="2306F118" w:rsidR="0008385C" w:rsidRPr="00C80F8E" w:rsidRDefault="00F571C1" w:rsidP="00494E1F">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32,858.27</w:t>
            </w:r>
          </w:p>
        </w:tc>
      </w:tr>
      <w:tr w:rsidR="0023713B" w:rsidRPr="00C80F8E" w14:paraId="6F0C19D5" w14:textId="77777777" w:rsidTr="004E6A05">
        <w:tc>
          <w:tcPr>
            <w:tcW w:w="5318" w:type="dxa"/>
          </w:tcPr>
          <w:p w14:paraId="0773FDC4" w14:textId="268C272F" w:rsidR="0023713B" w:rsidRPr="00C80F8E" w:rsidRDefault="0023713B" w:rsidP="00494E1F">
            <w:pPr>
              <w:contextualSpacing/>
              <w:jc w:val="both"/>
              <w:rPr>
                <w:rFonts w:ascii="Abadi" w:hAnsi="Abadi" w:cstheme="minorHAnsi"/>
                <w:sz w:val="20"/>
                <w:szCs w:val="20"/>
                <w:lang w:val="es-ES_tradnl"/>
              </w:rPr>
            </w:pPr>
            <w:r w:rsidRPr="00C80F8E">
              <w:rPr>
                <w:rFonts w:ascii="Abadi" w:hAnsi="Abadi" w:cstheme="minorHAnsi"/>
                <w:sz w:val="20"/>
                <w:szCs w:val="20"/>
                <w:lang w:val="es-ES_tradnl"/>
              </w:rPr>
              <w:t>Otras Cuentas por cobrar</w:t>
            </w:r>
          </w:p>
        </w:tc>
        <w:tc>
          <w:tcPr>
            <w:tcW w:w="1984" w:type="dxa"/>
          </w:tcPr>
          <w:p w14:paraId="07DAFC22" w14:textId="08CF8D64" w:rsidR="0023713B" w:rsidRPr="00C80F8E" w:rsidRDefault="00DE726F" w:rsidP="00494E1F">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1982" w:type="dxa"/>
          </w:tcPr>
          <w:p w14:paraId="7707531B" w14:textId="1BC34407" w:rsidR="0023713B" w:rsidRPr="00C80F8E" w:rsidRDefault="006D2B20" w:rsidP="00494E1F">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1,034,046.31</w:t>
            </w:r>
          </w:p>
        </w:tc>
      </w:tr>
      <w:tr w:rsidR="0008385C" w:rsidRPr="00C80F8E" w14:paraId="0046261A" w14:textId="77777777" w:rsidTr="004E6A05">
        <w:tc>
          <w:tcPr>
            <w:tcW w:w="5318" w:type="dxa"/>
          </w:tcPr>
          <w:p w14:paraId="12A45834" w14:textId="0C3C5EA8" w:rsidR="0008385C" w:rsidRPr="00C80F8E" w:rsidRDefault="0008385C" w:rsidP="00494E1F">
            <w:pPr>
              <w:contextualSpacing/>
              <w:jc w:val="both"/>
              <w:rPr>
                <w:rFonts w:ascii="Abadi" w:hAnsi="Abadi" w:cstheme="minorHAnsi"/>
                <w:sz w:val="20"/>
                <w:szCs w:val="20"/>
                <w:lang w:val="es-ES_tradnl"/>
              </w:rPr>
            </w:pPr>
            <w:r w:rsidRPr="00C80F8E">
              <w:rPr>
                <w:rFonts w:ascii="Abadi" w:hAnsi="Abadi" w:cstheme="minorHAnsi"/>
                <w:sz w:val="20"/>
                <w:szCs w:val="20"/>
                <w:lang w:val="es-ES_tradnl"/>
              </w:rPr>
              <w:t xml:space="preserve">Anticipos a Proveedores </w:t>
            </w:r>
          </w:p>
        </w:tc>
        <w:tc>
          <w:tcPr>
            <w:tcW w:w="1984" w:type="dxa"/>
            <w:tcBorders>
              <w:bottom w:val="single" w:sz="12" w:space="0" w:color="auto"/>
            </w:tcBorders>
          </w:tcPr>
          <w:p w14:paraId="45D88CB2" w14:textId="68E9CCBB" w:rsidR="0008385C" w:rsidRPr="00C80F8E" w:rsidRDefault="00572788" w:rsidP="00494E1F">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8,683,141.25</w:t>
            </w:r>
          </w:p>
        </w:tc>
        <w:tc>
          <w:tcPr>
            <w:tcW w:w="1982" w:type="dxa"/>
            <w:tcBorders>
              <w:bottom w:val="single" w:sz="12" w:space="0" w:color="auto"/>
            </w:tcBorders>
          </w:tcPr>
          <w:p w14:paraId="1F9A5F49" w14:textId="312EEB1D" w:rsidR="0008385C" w:rsidRPr="00C80F8E" w:rsidRDefault="005D1680" w:rsidP="00494E1F">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1,308,445.37</w:t>
            </w:r>
          </w:p>
        </w:tc>
      </w:tr>
      <w:tr w:rsidR="0008385C" w:rsidRPr="00C80F8E" w14:paraId="0D488CA0" w14:textId="77777777" w:rsidTr="008F5FDC">
        <w:tc>
          <w:tcPr>
            <w:tcW w:w="5318" w:type="dxa"/>
            <w:shd w:val="clear" w:color="auto" w:fill="FFFFFF" w:themeFill="background1"/>
          </w:tcPr>
          <w:p w14:paraId="1E3057DD" w14:textId="77777777" w:rsidR="0008385C" w:rsidRPr="00C80F8E" w:rsidRDefault="0008385C" w:rsidP="006C2D82">
            <w:pPr>
              <w:contextualSpacing/>
              <w:rPr>
                <w:rFonts w:ascii="Abadi" w:hAnsi="Abadi" w:cstheme="minorHAnsi"/>
                <w:b/>
                <w:bCs/>
                <w:sz w:val="20"/>
                <w:szCs w:val="20"/>
                <w:lang w:val="es-ES_tradnl"/>
              </w:rPr>
            </w:pPr>
            <w:r w:rsidRPr="00C80F8E">
              <w:rPr>
                <w:rFonts w:ascii="Abadi" w:hAnsi="Abadi" w:cstheme="minorHAnsi"/>
                <w:b/>
                <w:bCs/>
                <w:sz w:val="20"/>
                <w:szCs w:val="20"/>
                <w:lang w:val="es-ES_tradnl"/>
              </w:rPr>
              <w:t>Total</w:t>
            </w:r>
          </w:p>
        </w:tc>
        <w:tc>
          <w:tcPr>
            <w:tcW w:w="1984" w:type="dxa"/>
            <w:tcBorders>
              <w:top w:val="single" w:sz="12" w:space="0" w:color="auto"/>
              <w:bottom w:val="double" w:sz="4" w:space="0" w:color="auto"/>
              <w:right w:val="double" w:sz="4" w:space="0" w:color="auto"/>
            </w:tcBorders>
            <w:shd w:val="clear" w:color="auto" w:fill="FFFFFF" w:themeFill="background1"/>
          </w:tcPr>
          <w:p w14:paraId="3FA77767" w14:textId="3C7FADDD" w:rsidR="0008385C" w:rsidRPr="00C80F8E" w:rsidRDefault="000E37CE" w:rsidP="00494E1F">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8</w:t>
            </w:r>
            <w:r w:rsidR="008F5FDC" w:rsidRPr="00C80F8E">
              <w:rPr>
                <w:rFonts w:ascii="Abadi" w:hAnsi="Abadi" w:cstheme="minorHAnsi"/>
                <w:b/>
                <w:bCs/>
                <w:sz w:val="20"/>
                <w:szCs w:val="20"/>
                <w:lang w:val="es-ES_tradnl"/>
              </w:rPr>
              <w:t>,</w:t>
            </w:r>
            <w:r w:rsidRPr="00C80F8E">
              <w:rPr>
                <w:rFonts w:ascii="Abadi" w:hAnsi="Abadi" w:cstheme="minorHAnsi"/>
                <w:b/>
                <w:bCs/>
                <w:sz w:val="20"/>
                <w:szCs w:val="20"/>
                <w:lang w:val="es-ES_tradnl"/>
              </w:rPr>
              <w:t>713</w:t>
            </w:r>
            <w:r w:rsidR="008F5FDC" w:rsidRPr="00C80F8E">
              <w:rPr>
                <w:rFonts w:ascii="Abadi" w:hAnsi="Abadi" w:cstheme="minorHAnsi"/>
                <w:b/>
                <w:bCs/>
                <w:sz w:val="20"/>
                <w:szCs w:val="20"/>
                <w:lang w:val="es-ES_tradnl"/>
              </w:rPr>
              <w:t>,231.66</w:t>
            </w:r>
          </w:p>
        </w:tc>
        <w:tc>
          <w:tcPr>
            <w:tcW w:w="1982" w:type="dxa"/>
            <w:tcBorders>
              <w:top w:val="single" w:sz="12" w:space="0" w:color="auto"/>
              <w:left w:val="double" w:sz="4" w:space="0" w:color="auto"/>
              <w:bottom w:val="double" w:sz="4" w:space="0" w:color="auto"/>
            </w:tcBorders>
            <w:shd w:val="clear" w:color="auto" w:fill="FFFFFF" w:themeFill="background1"/>
          </w:tcPr>
          <w:p w14:paraId="169C8289" w14:textId="75C7F3D3" w:rsidR="0008385C" w:rsidRPr="00C80F8E" w:rsidRDefault="00296692" w:rsidP="00494E1F">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2,</w:t>
            </w:r>
            <w:r w:rsidRPr="00C80F8E">
              <w:rPr>
                <w:b/>
                <w:bCs/>
                <w:lang w:val="es-ES_tradnl"/>
              </w:rPr>
              <w:t>375,349.95</w:t>
            </w:r>
          </w:p>
        </w:tc>
      </w:tr>
    </w:tbl>
    <w:p w14:paraId="307EC74A" w14:textId="77777777" w:rsidR="00C23CDC" w:rsidRPr="00C80F8E" w:rsidRDefault="00C23CDC" w:rsidP="00BA6450">
      <w:pPr>
        <w:contextualSpacing/>
        <w:jc w:val="both"/>
        <w:rPr>
          <w:rFonts w:ascii="Abadi" w:hAnsi="Abadi" w:cstheme="minorHAnsi"/>
          <w:b/>
          <w:bCs/>
          <w:iCs/>
          <w:sz w:val="16"/>
          <w:szCs w:val="16"/>
          <w:lang w:val="es-ES_tradnl" w:eastAsia="es-ES"/>
        </w:rPr>
      </w:pPr>
    </w:p>
    <w:p w14:paraId="0668CECB" w14:textId="310F3C08" w:rsidR="00BA6450" w:rsidRPr="00C80F8E" w:rsidRDefault="00E516C7" w:rsidP="00BA6450">
      <w:pPr>
        <w:contextualSpacing/>
        <w:jc w:val="both"/>
        <w:rPr>
          <w:rFonts w:ascii="Abadi" w:hAnsi="Abadi" w:cstheme="minorHAnsi"/>
          <w:b/>
          <w:bCs/>
          <w:iCs/>
          <w:sz w:val="20"/>
          <w:szCs w:val="20"/>
          <w:lang w:val="es-ES_tradnl" w:eastAsia="es-ES"/>
        </w:rPr>
      </w:pPr>
      <w:r w:rsidRPr="00C80F8E">
        <w:rPr>
          <w:rFonts w:ascii="Abadi" w:hAnsi="Abadi" w:cstheme="minorHAnsi"/>
          <w:b/>
          <w:bCs/>
          <w:iCs/>
          <w:sz w:val="20"/>
          <w:szCs w:val="20"/>
          <w:lang w:val="es-ES_tradnl" w:eastAsia="es-ES"/>
        </w:rPr>
        <w:t>9</w:t>
      </w:r>
      <w:r w:rsidR="00744016" w:rsidRPr="00C80F8E">
        <w:rPr>
          <w:rFonts w:ascii="Abadi" w:hAnsi="Abadi" w:cstheme="minorHAnsi"/>
          <w:b/>
          <w:bCs/>
          <w:iCs/>
          <w:sz w:val="20"/>
          <w:szCs w:val="20"/>
          <w:lang w:val="es-ES_tradnl" w:eastAsia="es-ES"/>
        </w:rPr>
        <w:t>.</w:t>
      </w:r>
      <w:r w:rsidR="00066DED" w:rsidRPr="00C80F8E">
        <w:rPr>
          <w:rFonts w:ascii="Abadi" w:hAnsi="Abadi" w:cstheme="minorHAnsi"/>
          <w:b/>
          <w:bCs/>
          <w:iCs/>
          <w:sz w:val="20"/>
          <w:szCs w:val="20"/>
          <w:lang w:val="es-ES_tradnl" w:eastAsia="es-ES"/>
        </w:rPr>
        <w:t>1</w:t>
      </w:r>
      <w:r w:rsidR="00744016" w:rsidRPr="00C80F8E">
        <w:rPr>
          <w:rFonts w:ascii="Abadi" w:hAnsi="Abadi" w:cstheme="minorHAnsi"/>
          <w:b/>
          <w:bCs/>
          <w:iCs/>
          <w:sz w:val="20"/>
          <w:szCs w:val="20"/>
          <w:lang w:val="es-ES_tradnl" w:eastAsia="es-ES"/>
        </w:rPr>
        <w:t xml:space="preserve"> </w:t>
      </w:r>
      <w:r w:rsidR="00BA6450" w:rsidRPr="00C80F8E">
        <w:rPr>
          <w:rFonts w:ascii="Abadi" w:hAnsi="Abadi" w:cstheme="minorHAnsi"/>
          <w:b/>
          <w:bCs/>
          <w:sz w:val="20"/>
          <w:szCs w:val="20"/>
          <w:lang w:val="es-ES_tradnl"/>
        </w:rPr>
        <w:t>Cuentas por Cobrar Funcionarios y Empleados</w:t>
      </w:r>
    </w:p>
    <w:p w14:paraId="10964162" w14:textId="7E3C2254" w:rsidR="00BA6450" w:rsidRPr="00C80F8E" w:rsidRDefault="00BA6450" w:rsidP="00F20C1E">
      <w:pPr>
        <w:spacing w:line="240" w:lineRule="auto"/>
        <w:contextualSpacing/>
        <w:jc w:val="both"/>
        <w:rPr>
          <w:rFonts w:ascii="Abadi" w:hAnsi="Abadi" w:cstheme="minorHAnsi"/>
          <w:b/>
          <w:bCs/>
          <w:iCs/>
          <w:sz w:val="16"/>
          <w:szCs w:val="16"/>
          <w:lang w:val="es-ES_tradnl" w:eastAsia="es-ES"/>
        </w:rPr>
      </w:pPr>
    </w:p>
    <w:p w14:paraId="7B257190" w14:textId="28ED7D1F" w:rsidR="00CC19DC" w:rsidRPr="00C80F8E" w:rsidRDefault="00FD563D" w:rsidP="00CC19DC">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Al 3</w:t>
      </w:r>
      <w:r w:rsidR="005D1D4B" w:rsidRPr="00C80F8E">
        <w:rPr>
          <w:rFonts w:ascii="Abadi" w:hAnsi="Abadi" w:cstheme="minorHAnsi"/>
          <w:bCs/>
          <w:iCs/>
          <w:sz w:val="20"/>
          <w:szCs w:val="20"/>
          <w:lang w:val="es-ES_tradnl" w:eastAsia="es-ES"/>
        </w:rPr>
        <w:t>0</w:t>
      </w:r>
      <w:r w:rsidRPr="00C80F8E">
        <w:rPr>
          <w:rFonts w:ascii="Abadi" w:hAnsi="Abadi" w:cstheme="minorHAnsi"/>
          <w:bCs/>
          <w:iCs/>
          <w:sz w:val="20"/>
          <w:szCs w:val="20"/>
          <w:lang w:val="es-ES_tradnl" w:eastAsia="es-ES"/>
        </w:rPr>
        <w:t xml:space="preserve"> de </w:t>
      </w:r>
      <w:r w:rsidR="005D1D4B" w:rsidRPr="00C80F8E">
        <w:rPr>
          <w:rFonts w:ascii="Abadi" w:hAnsi="Abadi" w:cstheme="minorHAnsi"/>
          <w:bCs/>
          <w:iCs/>
          <w:sz w:val="20"/>
          <w:szCs w:val="20"/>
          <w:lang w:val="es-ES_tradnl" w:eastAsia="es-ES"/>
        </w:rPr>
        <w:t>junio</w:t>
      </w:r>
      <w:r w:rsidRPr="00C80F8E">
        <w:rPr>
          <w:rFonts w:ascii="Abadi" w:hAnsi="Abadi" w:cstheme="minorHAnsi"/>
          <w:bCs/>
          <w:iCs/>
          <w:sz w:val="20"/>
          <w:szCs w:val="20"/>
          <w:lang w:val="es-ES_tradnl" w:eastAsia="es-ES"/>
        </w:rPr>
        <w:t xml:space="preserve"> de 2025, las cuentas por cobrar a funcionarios y empleados totalizan RD$30,090.41, en comparación con RD$32,858.27 registradas al </w:t>
      </w:r>
      <w:r w:rsidR="005D1D4B" w:rsidRPr="00C80F8E">
        <w:rPr>
          <w:rFonts w:ascii="Abadi" w:hAnsi="Abadi" w:cstheme="minorHAnsi"/>
          <w:bCs/>
          <w:iCs/>
          <w:sz w:val="20"/>
          <w:szCs w:val="20"/>
          <w:lang w:val="es-ES_tradnl" w:eastAsia="es-ES"/>
        </w:rPr>
        <w:t>30 de junio de</w:t>
      </w:r>
      <w:r w:rsidRPr="00C80F8E">
        <w:rPr>
          <w:rFonts w:ascii="Abadi" w:hAnsi="Abadi" w:cstheme="minorHAnsi"/>
          <w:bCs/>
          <w:iCs/>
          <w:sz w:val="20"/>
          <w:szCs w:val="20"/>
          <w:lang w:val="es-ES_tradnl" w:eastAsia="es-ES"/>
        </w:rPr>
        <w:t xml:space="preserve"> 2024. Esta variación representa una disminución absoluta de RD$2,767.86 y una variación relativa negativa del 8.42%, reflejando una reducción en el saldo pendiente por este concepto al finalizar el período</w:t>
      </w:r>
      <w:r w:rsidR="00CC19DC" w:rsidRPr="00C80F8E">
        <w:rPr>
          <w:rFonts w:ascii="Abadi" w:hAnsi="Abadi" w:cstheme="minorHAnsi"/>
          <w:bCs/>
          <w:iCs/>
          <w:sz w:val="20"/>
          <w:szCs w:val="20"/>
          <w:lang w:val="es-ES_tradnl" w:eastAsia="es-ES"/>
        </w:rPr>
        <w:t>, esta partida está conformada por lo siguiente:</w:t>
      </w:r>
    </w:p>
    <w:p w14:paraId="763DC15C" w14:textId="77777777" w:rsidR="00BA6450" w:rsidRPr="00C80F8E" w:rsidRDefault="00BA6450" w:rsidP="006D7F49">
      <w:pPr>
        <w:spacing w:line="240" w:lineRule="auto"/>
        <w:contextualSpacing/>
        <w:jc w:val="both"/>
        <w:rPr>
          <w:rFonts w:ascii="Abadi" w:hAnsi="Abadi" w:cstheme="minorHAnsi"/>
          <w:b/>
          <w:bCs/>
          <w:iCs/>
          <w:sz w:val="16"/>
          <w:szCs w:val="16"/>
          <w:lang w:val="es-ES_tradnl" w:eastAsia="es-ES"/>
        </w:rPr>
      </w:pPr>
    </w:p>
    <w:tbl>
      <w:tblPr>
        <w:tblW w:w="9377" w:type="dxa"/>
        <w:tblInd w:w="93" w:type="dxa"/>
        <w:tblLook w:val="04A0" w:firstRow="1" w:lastRow="0" w:firstColumn="1" w:lastColumn="0" w:noHBand="0" w:noVBand="1"/>
      </w:tblPr>
      <w:tblGrid>
        <w:gridCol w:w="5007"/>
        <w:gridCol w:w="2410"/>
        <w:gridCol w:w="1960"/>
      </w:tblGrid>
      <w:tr w:rsidR="000320E2" w:rsidRPr="00C80F8E" w14:paraId="74790F62" w14:textId="77777777" w:rsidTr="0021321A">
        <w:trPr>
          <w:trHeight w:val="394"/>
        </w:trPr>
        <w:tc>
          <w:tcPr>
            <w:tcW w:w="5007"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2692F1C8" w14:textId="77777777" w:rsidR="000320E2" w:rsidRPr="00C80F8E" w:rsidRDefault="000320E2" w:rsidP="009B7664">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Descripción</w:t>
            </w:r>
          </w:p>
        </w:tc>
        <w:tc>
          <w:tcPr>
            <w:tcW w:w="2410"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6E524A70" w14:textId="77777777" w:rsidR="000320E2" w:rsidRPr="00C80F8E" w:rsidRDefault="000320E2" w:rsidP="009B7664">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2025</w:t>
            </w:r>
          </w:p>
        </w:tc>
        <w:tc>
          <w:tcPr>
            <w:tcW w:w="1960"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65FEA126" w14:textId="77777777" w:rsidR="000320E2" w:rsidRPr="00C80F8E" w:rsidRDefault="000320E2" w:rsidP="009B7664">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2024</w:t>
            </w:r>
          </w:p>
        </w:tc>
      </w:tr>
      <w:tr w:rsidR="000320E2" w:rsidRPr="00C80F8E" w14:paraId="1D4A779E" w14:textId="77777777" w:rsidTr="002132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007" w:type="dxa"/>
            <w:noWrap/>
            <w:vAlign w:val="bottom"/>
          </w:tcPr>
          <w:p w14:paraId="635027F9" w14:textId="11C7D988" w:rsidR="000320E2" w:rsidRPr="00C80F8E" w:rsidRDefault="008F5DDE" w:rsidP="009B7664">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Clemencia Garcia</w:t>
            </w:r>
            <w:r w:rsidR="00980006" w:rsidRPr="00C80F8E">
              <w:rPr>
                <w:rFonts w:ascii="Abadi" w:hAnsi="Abadi" w:cstheme="minorHAnsi"/>
                <w:iCs/>
                <w:color w:val="000000"/>
                <w:sz w:val="20"/>
                <w:szCs w:val="20"/>
                <w:lang w:val="es-ES_tradnl"/>
              </w:rPr>
              <w:t xml:space="preserve"> (Gastos Educativos)</w:t>
            </w:r>
          </w:p>
        </w:tc>
        <w:tc>
          <w:tcPr>
            <w:tcW w:w="2410" w:type="dxa"/>
            <w:tcBorders>
              <w:bottom w:val="single" w:sz="12" w:space="0" w:color="auto"/>
            </w:tcBorders>
            <w:noWrap/>
            <w:vAlign w:val="bottom"/>
          </w:tcPr>
          <w:p w14:paraId="151A6196" w14:textId="189DC9E6" w:rsidR="000320E2" w:rsidRPr="00C80F8E" w:rsidRDefault="00C03B42" w:rsidP="009B7664">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c>
          <w:tcPr>
            <w:tcW w:w="1960" w:type="dxa"/>
            <w:tcBorders>
              <w:bottom w:val="single" w:sz="12" w:space="0" w:color="auto"/>
            </w:tcBorders>
            <w:noWrap/>
            <w:vAlign w:val="bottom"/>
          </w:tcPr>
          <w:p w14:paraId="301E8113" w14:textId="102C8FC4" w:rsidR="000320E2" w:rsidRPr="00C80F8E" w:rsidRDefault="008F5DDE" w:rsidP="009B7664">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32</w:t>
            </w:r>
            <w:r w:rsidR="00A82952" w:rsidRPr="00C80F8E">
              <w:rPr>
                <w:rFonts w:ascii="Abadi" w:hAnsi="Abadi" w:cstheme="minorHAnsi"/>
                <w:iCs/>
                <w:color w:val="000000"/>
                <w:sz w:val="20"/>
                <w:szCs w:val="20"/>
                <w:lang w:val="es-ES_tradnl"/>
              </w:rPr>
              <w:t>,858.27</w:t>
            </w:r>
          </w:p>
        </w:tc>
      </w:tr>
      <w:tr w:rsidR="00951C27" w:rsidRPr="00C80F8E" w14:paraId="70579A3B" w14:textId="77777777" w:rsidTr="002132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007" w:type="dxa"/>
            <w:noWrap/>
            <w:vAlign w:val="bottom"/>
          </w:tcPr>
          <w:p w14:paraId="247FEB3C" w14:textId="31874F9E" w:rsidR="00951C27" w:rsidRPr="00C80F8E" w:rsidRDefault="00EC2573" w:rsidP="009B7664">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Mónica</w:t>
            </w:r>
            <w:r w:rsidR="00951C27" w:rsidRPr="00C80F8E">
              <w:rPr>
                <w:rFonts w:ascii="Abadi" w:hAnsi="Abadi" w:cstheme="minorHAnsi"/>
                <w:iCs/>
                <w:color w:val="000000"/>
                <w:sz w:val="20"/>
                <w:szCs w:val="20"/>
                <w:lang w:val="es-ES_tradnl"/>
              </w:rPr>
              <w:t xml:space="preserve"> Peña (Seguro</w:t>
            </w:r>
            <w:r w:rsidRPr="00C80F8E">
              <w:rPr>
                <w:rFonts w:ascii="Abadi" w:hAnsi="Abadi" w:cstheme="minorHAnsi"/>
                <w:iCs/>
                <w:color w:val="000000"/>
                <w:sz w:val="20"/>
                <w:szCs w:val="20"/>
                <w:lang w:val="es-ES_tradnl"/>
              </w:rPr>
              <w:t xml:space="preserve"> Complementario)</w:t>
            </w:r>
          </w:p>
        </w:tc>
        <w:tc>
          <w:tcPr>
            <w:tcW w:w="2410" w:type="dxa"/>
            <w:tcBorders>
              <w:bottom w:val="single" w:sz="12" w:space="0" w:color="auto"/>
            </w:tcBorders>
            <w:noWrap/>
            <w:vAlign w:val="bottom"/>
          </w:tcPr>
          <w:p w14:paraId="5A701C56" w14:textId="57709170" w:rsidR="00951C27" w:rsidRPr="00C80F8E" w:rsidRDefault="00EC2573" w:rsidP="009B7664">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30,090.41</w:t>
            </w:r>
          </w:p>
        </w:tc>
        <w:tc>
          <w:tcPr>
            <w:tcW w:w="1960" w:type="dxa"/>
            <w:tcBorders>
              <w:bottom w:val="single" w:sz="12" w:space="0" w:color="auto"/>
            </w:tcBorders>
            <w:noWrap/>
            <w:vAlign w:val="bottom"/>
          </w:tcPr>
          <w:p w14:paraId="19FBEA48" w14:textId="7C139F12" w:rsidR="00951C27" w:rsidRPr="00C80F8E" w:rsidRDefault="00C03B42" w:rsidP="009B7664">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r>
      <w:tr w:rsidR="000320E2" w:rsidRPr="00C80F8E" w14:paraId="196C7005" w14:textId="77777777" w:rsidTr="00EC257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5007" w:type="dxa"/>
            <w:shd w:val="clear" w:color="auto" w:fill="FFFFFF" w:themeFill="background1"/>
            <w:noWrap/>
            <w:vAlign w:val="bottom"/>
          </w:tcPr>
          <w:p w14:paraId="1D766808" w14:textId="06FE9902" w:rsidR="000320E2" w:rsidRPr="00C80F8E" w:rsidRDefault="000320E2" w:rsidP="009B7664">
            <w:pPr>
              <w:spacing w:line="240" w:lineRule="auto"/>
              <w:contextualSpacing/>
              <w:jc w:val="both"/>
              <w:rPr>
                <w:rFonts w:ascii="Abadi" w:hAnsi="Abadi" w:cstheme="minorHAnsi"/>
                <w:iCs/>
                <w:sz w:val="20"/>
                <w:szCs w:val="20"/>
                <w:lang w:val="es-ES_tradnl"/>
              </w:rPr>
            </w:pPr>
            <w:proofErr w:type="gramStart"/>
            <w:r w:rsidRPr="00C80F8E">
              <w:rPr>
                <w:rFonts w:ascii="Abadi" w:hAnsi="Abadi" w:cstheme="minorHAnsi"/>
                <w:b/>
                <w:bCs/>
                <w:iCs/>
                <w:sz w:val="20"/>
                <w:szCs w:val="20"/>
                <w:lang w:val="es-ES_tradnl"/>
              </w:rPr>
              <w:t>Total</w:t>
            </w:r>
            <w:proofErr w:type="gramEnd"/>
            <w:r w:rsidRPr="00C80F8E">
              <w:rPr>
                <w:rFonts w:ascii="Abadi" w:hAnsi="Abadi" w:cstheme="minorHAnsi"/>
                <w:b/>
                <w:bCs/>
                <w:iCs/>
                <w:sz w:val="20"/>
                <w:szCs w:val="20"/>
                <w:lang w:val="es-ES_tradnl"/>
              </w:rPr>
              <w:t xml:space="preserve"> </w:t>
            </w:r>
            <w:r w:rsidRPr="00C80F8E">
              <w:rPr>
                <w:rFonts w:ascii="Abadi" w:hAnsi="Abadi" w:cstheme="minorHAnsi"/>
                <w:b/>
                <w:bCs/>
                <w:sz w:val="20"/>
                <w:szCs w:val="20"/>
                <w:lang w:val="es-ES_tradnl"/>
              </w:rPr>
              <w:t xml:space="preserve">Cuentas por Cobrar </w:t>
            </w:r>
            <w:proofErr w:type="gramStart"/>
            <w:r w:rsidRPr="00C80F8E">
              <w:rPr>
                <w:rFonts w:ascii="Abadi" w:hAnsi="Abadi" w:cstheme="minorHAnsi"/>
                <w:b/>
                <w:bCs/>
                <w:sz w:val="20"/>
                <w:szCs w:val="20"/>
                <w:lang w:val="es-ES_tradnl"/>
              </w:rPr>
              <w:t>Funcionarios</w:t>
            </w:r>
            <w:proofErr w:type="gramEnd"/>
            <w:r w:rsidRPr="00C80F8E">
              <w:rPr>
                <w:rFonts w:ascii="Abadi" w:hAnsi="Abadi" w:cstheme="minorHAnsi"/>
                <w:b/>
                <w:bCs/>
                <w:sz w:val="20"/>
                <w:szCs w:val="20"/>
                <w:lang w:val="es-ES_tradnl"/>
              </w:rPr>
              <w:t xml:space="preserve"> y Empleados</w:t>
            </w:r>
            <w:r w:rsidRPr="00C80F8E">
              <w:rPr>
                <w:rFonts w:ascii="Abadi" w:hAnsi="Abadi" w:cstheme="minorHAnsi"/>
                <w:b/>
                <w:bCs/>
                <w:iCs/>
                <w:sz w:val="20"/>
                <w:szCs w:val="20"/>
                <w:lang w:val="es-ES_tradnl"/>
              </w:rPr>
              <w:t xml:space="preserve">                                                   </w:t>
            </w:r>
          </w:p>
        </w:tc>
        <w:tc>
          <w:tcPr>
            <w:tcW w:w="2410" w:type="dxa"/>
            <w:tcBorders>
              <w:top w:val="single" w:sz="12" w:space="0" w:color="auto"/>
              <w:bottom w:val="double" w:sz="4" w:space="0" w:color="auto"/>
            </w:tcBorders>
            <w:shd w:val="clear" w:color="auto" w:fill="FFFFFF" w:themeFill="background1"/>
            <w:noWrap/>
            <w:vAlign w:val="bottom"/>
          </w:tcPr>
          <w:p w14:paraId="6281C010" w14:textId="071D23B7" w:rsidR="000320E2" w:rsidRPr="00C80F8E" w:rsidRDefault="00EC2573" w:rsidP="009B7664">
            <w:pPr>
              <w:spacing w:line="240" w:lineRule="auto"/>
              <w:contextualSpacing/>
              <w:jc w:val="right"/>
              <w:rPr>
                <w:rFonts w:ascii="Abadi" w:hAnsi="Abadi" w:cstheme="minorHAnsi"/>
                <w:b/>
                <w:bCs/>
                <w:iCs/>
                <w:sz w:val="20"/>
                <w:szCs w:val="20"/>
                <w:lang w:val="es-ES_tradnl"/>
              </w:rPr>
            </w:pPr>
            <w:r w:rsidRPr="00C80F8E">
              <w:rPr>
                <w:rFonts w:ascii="Abadi" w:hAnsi="Abadi" w:cstheme="minorHAnsi"/>
                <w:b/>
                <w:bCs/>
                <w:iCs/>
                <w:sz w:val="20"/>
                <w:szCs w:val="20"/>
                <w:lang w:val="es-ES_tradnl"/>
              </w:rPr>
              <w:t>30,090.41</w:t>
            </w:r>
          </w:p>
        </w:tc>
        <w:tc>
          <w:tcPr>
            <w:tcW w:w="1960" w:type="dxa"/>
            <w:tcBorders>
              <w:top w:val="single" w:sz="12" w:space="0" w:color="auto"/>
              <w:bottom w:val="double" w:sz="4" w:space="0" w:color="auto"/>
            </w:tcBorders>
            <w:shd w:val="clear" w:color="auto" w:fill="FFFFFF" w:themeFill="background1"/>
            <w:noWrap/>
            <w:vAlign w:val="bottom"/>
          </w:tcPr>
          <w:p w14:paraId="26B218C1" w14:textId="1A939AFB" w:rsidR="000320E2" w:rsidRPr="00C80F8E" w:rsidRDefault="00B61034" w:rsidP="009B7664">
            <w:pPr>
              <w:spacing w:line="240" w:lineRule="auto"/>
              <w:contextualSpacing/>
              <w:jc w:val="right"/>
              <w:rPr>
                <w:rFonts w:ascii="Abadi" w:hAnsi="Abadi" w:cstheme="minorHAnsi"/>
                <w:b/>
                <w:bCs/>
                <w:iCs/>
                <w:sz w:val="20"/>
                <w:szCs w:val="20"/>
                <w:lang w:val="es-ES_tradnl"/>
              </w:rPr>
            </w:pPr>
            <w:r w:rsidRPr="00C80F8E">
              <w:rPr>
                <w:rFonts w:ascii="Abadi" w:hAnsi="Abadi" w:cstheme="minorHAnsi"/>
                <w:b/>
                <w:bCs/>
                <w:iCs/>
                <w:sz w:val="20"/>
                <w:szCs w:val="20"/>
                <w:lang w:val="es-ES_tradnl"/>
              </w:rPr>
              <w:t>32,858.27</w:t>
            </w:r>
          </w:p>
        </w:tc>
      </w:tr>
    </w:tbl>
    <w:p w14:paraId="1914560E" w14:textId="77777777" w:rsidR="004F7DB3" w:rsidRDefault="004F7DB3" w:rsidP="006271C6">
      <w:pPr>
        <w:spacing w:line="240" w:lineRule="auto"/>
        <w:ind w:left="68"/>
        <w:contextualSpacing/>
        <w:jc w:val="both"/>
        <w:rPr>
          <w:rFonts w:ascii="Abadi" w:hAnsi="Abadi" w:cstheme="minorHAnsi"/>
          <w:bCs/>
          <w:sz w:val="20"/>
          <w:szCs w:val="20"/>
          <w:lang w:val="es-ES_tradnl"/>
        </w:rPr>
      </w:pPr>
    </w:p>
    <w:p w14:paraId="26BB8DE3" w14:textId="23053022" w:rsidR="006271C6" w:rsidRPr="00C80F8E" w:rsidRDefault="006271C6" w:rsidP="006271C6">
      <w:pPr>
        <w:spacing w:line="240" w:lineRule="auto"/>
        <w:ind w:left="68"/>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Es importante destacar que estos valores no corresponden a préstamos ni adelantos de remuneraciones, sino que se originan por diferencias temporales entre las deducciones aplicadas y los montos posteriormente validados durante los procesos de conciliación. Estas diferencias surgen, principalmente, de gastos educativos deducidos insuficientes, diferencias en el cálculo de seguros médicos complementarios, y otros conceptos similares que se ajustan en períodos subsiguientes</w:t>
      </w:r>
      <w:r>
        <w:rPr>
          <w:rFonts w:ascii="Abadi" w:hAnsi="Abadi" w:cstheme="minorHAnsi"/>
          <w:bCs/>
          <w:sz w:val="20"/>
          <w:szCs w:val="20"/>
          <w:lang w:val="es-ES_tradnl"/>
        </w:rPr>
        <w:t>.</w:t>
      </w:r>
      <w:r w:rsidRPr="00C80F8E">
        <w:rPr>
          <w:rFonts w:ascii="Abadi" w:hAnsi="Abadi" w:cstheme="minorHAnsi"/>
          <w:bCs/>
          <w:sz w:val="20"/>
          <w:szCs w:val="20"/>
          <w:lang w:val="es-ES_tradnl"/>
        </w:rPr>
        <w:t xml:space="preserve"> </w:t>
      </w:r>
    </w:p>
    <w:p w14:paraId="2DC52BE6" w14:textId="77777777" w:rsidR="006F2E8E" w:rsidRPr="00C80F8E" w:rsidRDefault="006F2E8E" w:rsidP="006D7F49">
      <w:pPr>
        <w:spacing w:line="240" w:lineRule="auto"/>
        <w:contextualSpacing/>
        <w:jc w:val="both"/>
        <w:rPr>
          <w:rFonts w:ascii="Abadi" w:hAnsi="Abadi" w:cstheme="minorHAnsi"/>
          <w:b/>
          <w:iCs/>
          <w:sz w:val="20"/>
          <w:szCs w:val="20"/>
          <w:lang w:val="es-ES_tradnl"/>
        </w:rPr>
      </w:pPr>
    </w:p>
    <w:p w14:paraId="56035711" w14:textId="4D1B5CD5" w:rsidR="00F126B9" w:rsidRPr="00C80F8E" w:rsidRDefault="00CC19DC" w:rsidP="006D7F49">
      <w:pPr>
        <w:spacing w:line="240" w:lineRule="auto"/>
        <w:contextualSpacing/>
        <w:jc w:val="both"/>
        <w:rPr>
          <w:rFonts w:ascii="Abadi" w:hAnsi="Abadi" w:cstheme="minorHAnsi"/>
          <w:b/>
          <w:sz w:val="20"/>
          <w:szCs w:val="20"/>
          <w:lang w:val="es-ES_tradnl" w:eastAsia="es-ES"/>
        </w:rPr>
      </w:pPr>
      <w:r w:rsidRPr="00C80F8E">
        <w:rPr>
          <w:rFonts w:ascii="Abadi" w:hAnsi="Abadi" w:cstheme="minorHAnsi"/>
          <w:b/>
          <w:iCs/>
          <w:sz w:val="20"/>
          <w:szCs w:val="20"/>
          <w:lang w:val="es-ES_tradnl"/>
        </w:rPr>
        <w:t xml:space="preserve">9.2 </w:t>
      </w:r>
      <w:r w:rsidR="00744016" w:rsidRPr="00C80F8E">
        <w:rPr>
          <w:rFonts w:ascii="Abadi" w:hAnsi="Abadi" w:cstheme="minorHAnsi"/>
          <w:b/>
          <w:iCs/>
          <w:sz w:val="20"/>
          <w:szCs w:val="20"/>
          <w:lang w:val="es-ES_tradnl"/>
        </w:rPr>
        <w:t xml:space="preserve">Otras </w:t>
      </w:r>
      <w:r w:rsidR="00744016" w:rsidRPr="00C80F8E">
        <w:rPr>
          <w:rFonts w:ascii="Abadi" w:hAnsi="Abadi" w:cstheme="minorHAnsi"/>
          <w:b/>
          <w:sz w:val="20"/>
          <w:szCs w:val="20"/>
          <w:lang w:val="es-ES_tradnl" w:eastAsia="es-ES"/>
        </w:rPr>
        <w:t>Cuentas por Cobrar</w:t>
      </w:r>
    </w:p>
    <w:p w14:paraId="4F22DE9D" w14:textId="77777777" w:rsidR="006D7F49" w:rsidRPr="00C80F8E" w:rsidRDefault="006D7F49" w:rsidP="006D7F49">
      <w:pPr>
        <w:spacing w:line="240" w:lineRule="auto"/>
        <w:contextualSpacing/>
        <w:jc w:val="both"/>
        <w:rPr>
          <w:rFonts w:ascii="Abadi" w:hAnsi="Abadi" w:cstheme="minorHAnsi"/>
          <w:b/>
          <w:sz w:val="20"/>
          <w:szCs w:val="20"/>
          <w:lang w:val="es-ES_tradnl" w:eastAsia="es-ES"/>
        </w:rPr>
      </w:pPr>
    </w:p>
    <w:p w14:paraId="31675BAD" w14:textId="3E1310C3" w:rsidR="00744016" w:rsidRPr="00C80F8E" w:rsidRDefault="00973EC8" w:rsidP="002F6F75">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Al 3</w:t>
      </w:r>
      <w:r w:rsidR="005D1D4B" w:rsidRPr="00C80F8E">
        <w:rPr>
          <w:rFonts w:ascii="Abadi" w:hAnsi="Abadi" w:cstheme="minorHAnsi"/>
          <w:bCs/>
          <w:iCs/>
          <w:sz w:val="20"/>
          <w:szCs w:val="20"/>
          <w:lang w:val="es-ES_tradnl" w:eastAsia="es-ES"/>
        </w:rPr>
        <w:t>0</w:t>
      </w:r>
      <w:r w:rsidRPr="00C80F8E">
        <w:rPr>
          <w:rFonts w:ascii="Abadi" w:hAnsi="Abadi" w:cstheme="minorHAnsi"/>
          <w:bCs/>
          <w:iCs/>
          <w:sz w:val="20"/>
          <w:szCs w:val="20"/>
          <w:lang w:val="es-ES_tradnl" w:eastAsia="es-ES"/>
        </w:rPr>
        <w:t xml:space="preserve"> de </w:t>
      </w:r>
      <w:r w:rsidR="005144C1" w:rsidRPr="00C80F8E">
        <w:rPr>
          <w:rFonts w:ascii="Abadi" w:hAnsi="Abadi" w:cstheme="minorHAnsi"/>
          <w:bCs/>
          <w:iCs/>
          <w:sz w:val="20"/>
          <w:szCs w:val="20"/>
          <w:lang w:val="es-ES_tradnl" w:eastAsia="es-ES"/>
        </w:rPr>
        <w:t>junio</w:t>
      </w:r>
      <w:r w:rsidRPr="00C80F8E">
        <w:rPr>
          <w:rFonts w:ascii="Abadi" w:hAnsi="Abadi" w:cstheme="minorHAnsi"/>
          <w:bCs/>
          <w:iCs/>
          <w:sz w:val="20"/>
          <w:szCs w:val="20"/>
          <w:lang w:val="es-ES_tradnl" w:eastAsia="es-ES"/>
        </w:rPr>
        <w:t xml:space="preserve"> de 2025, el saldo correspondiente a otras cuentas por cobrar fue de RD$0.00, en comparación con un saldo de RD$1,034,046.31 registrado al </w:t>
      </w:r>
      <w:r w:rsidR="005144C1" w:rsidRPr="00C80F8E">
        <w:rPr>
          <w:rFonts w:ascii="Abadi" w:hAnsi="Abadi" w:cstheme="minorHAnsi"/>
          <w:bCs/>
          <w:iCs/>
          <w:sz w:val="20"/>
          <w:szCs w:val="20"/>
          <w:lang w:val="es-ES_tradnl" w:eastAsia="es-ES"/>
        </w:rPr>
        <w:t xml:space="preserve">30 junio </w:t>
      </w:r>
      <w:r w:rsidR="005D1D4B" w:rsidRPr="00C80F8E">
        <w:rPr>
          <w:rFonts w:ascii="Abadi" w:hAnsi="Abadi" w:cstheme="minorHAnsi"/>
          <w:bCs/>
          <w:iCs/>
          <w:sz w:val="20"/>
          <w:szCs w:val="20"/>
          <w:lang w:val="es-ES_tradnl" w:eastAsia="es-ES"/>
        </w:rPr>
        <w:t xml:space="preserve">de </w:t>
      </w:r>
      <w:r w:rsidRPr="00C80F8E">
        <w:rPr>
          <w:rFonts w:ascii="Abadi" w:hAnsi="Abadi" w:cstheme="minorHAnsi"/>
          <w:bCs/>
          <w:iCs/>
          <w:sz w:val="20"/>
          <w:szCs w:val="20"/>
          <w:lang w:val="es-ES_tradnl" w:eastAsia="es-ES"/>
        </w:rPr>
        <w:t>2024. Esta variación representa una disminución absoluta de RD$1,034,046.31 y una variación relativa negativa del 100.00%, reflejando la recuperación o cancelación total de los valores pendientes bajo este concepto al finalizar</w:t>
      </w:r>
      <w:r w:rsidR="00DE68E4" w:rsidRPr="00C80F8E">
        <w:rPr>
          <w:rFonts w:ascii="Abadi" w:hAnsi="Abadi" w:cstheme="minorHAnsi"/>
          <w:bCs/>
          <w:iCs/>
          <w:sz w:val="20"/>
          <w:szCs w:val="20"/>
          <w:lang w:val="es-ES_tradnl" w:eastAsia="es-ES"/>
        </w:rPr>
        <w:t>,</w:t>
      </w:r>
      <w:r w:rsidR="00744016" w:rsidRPr="00C80F8E">
        <w:rPr>
          <w:rFonts w:ascii="Abadi" w:hAnsi="Abadi" w:cstheme="minorHAnsi"/>
          <w:bCs/>
          <w:iCs/>
          <w:sz w:val="20"/>
          <w:szCs w:val="20"/>
          <w:lang w:val="es-ES_tradnl" w:eastAsia="es-ES"/>
        </w:rPr>
        <w:t xml:space="preserve"> esta partida está conformada por lo siguiente:</w:t>
      </w:r>
    </w:p>
    <w:p w14:paraId="72508173" w14:textId="77777777" w:rsidR="00533EDD" w:rsidRPr="00C80F8E" w:rsidRDefault="00533EDD" w:rsidP="002F6F75">
      <w:pPr>
        <w:spacing w:line="240" w:lineRule="auto"/>
        <w:contextualSpacing/>
        <w:jc w:val="both"/>
        <w:rPr>
          <w:rFonts w:ascii="Abadi" w:hAnsi="Abadi" w:cstheme="minorHAnsi"/>
          <w:bCs/>
          <w:iCs/>
          <w:sz w:val="20"/>
          <w:szCs w:val="20"/>
          <w:lang w:val="es-ES_tradnl" w:eastAsia="es-ES"/>
        </w:rPr>
      </w:pPr>
    </w:p>
    <w:tbl>
      <w:tblPr>
        <w:tblW w:w="9377" w:type="dxa"/>
        <w:tblInd w:w="93" w:type="dxa"/>
        <w:tblLook w:val="04A0" w:firstRow="1" w:lastRow="0" w:firstColumn="1" w:lastColumn="0" w:noHBand="0" w:noVBand="1"/>
      </w:tblPr>
      <w:tblGrid>
        <w:gridCol w:w="5007"/>
        <w:gridCol w:w="2410"/>
        <w:gridCol w:w="1960"/>
      </w:tblGrid>
      <w:tr w:rsidR="00E826C6" w:rsidRPr="00C80F8E" w14:paraId="608EA31D" w14:textId="77777777" w:rsidTr="005C1718">
        <w:trPr>
          <w:trHeight w:val="394"/>
        </w:trPr>
        <w:tc>
          <w:tcPr>
            <w:tcW w:w="5007"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2A9617AF" w14:textId="77777777" w:rsidR="00E826C6" w:rsidRPr="00C80F8E" w:rsidRDefault="00E826C6" w:rsidP="00EE6D53">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Descripción</w:t>
            </w:r>
          </w:p>
        </w:tc>
        <w:tc>
          <w:tcPr>
            <w:tcW w:w="2410"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5B174E31" w14:textId="366CD5C9" w:rsidR="00E826C6" w:rsidRPr="00C80F8E" w:rsidRDefault="00E826C6" w:rsidP="00EE6D53">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202</w:t>
            </w:r>
            <w:r w:rsidR="003D6C30" w:rsidRPr="00C80F8E">
              <w:rPr>
                <w:rFonts w:ascii="Abadi" w:hAnsi="Abadi" w:cstheme="minorHAnsi"/>
                <w:b/>
                <w:bCs/>
                <w:iCs/>
                <w:color w:val="FFFFFF" w:themeColor="background1"/>
                <w:sz w:val="20"/>
                <w:szCs w:val="20"/>
                <w:lang w:val="es-ES_tradnl"/>
              </w:rPr>
              <w:t>5</w:t>
            </w:r>
          </w:p>
        </w:tc>
        <w:tc>
          <w:tcPr>
            <w:tcW w:w="1960" w:type="dxa"/>
            <w:tcBorders>
              <w:top w:val="single" w:sz="2" w:space="0" w:color="auto"/>
              <w:left w:val="single" w:sz="2" w:space="0" w:color="auto"/>
              <w:bottom w:val="single" w:sz="2" w:space="0" w:color="auto"/>
              <w:right w:val="single" w:sz="2" w:space="0" w:color="auto"/>
            </w:tcBorders>
            <w:shd w:val="clear" w:color="auto" w:fill="0070C0"/>
            <w:noWrap/>
            <w:vAlign w:val="bottom"/>
          </w:tcPr>
          <w:p w14:paraId="281FA1CB" w14:textId="5703E47C" w:rsidR="00E826C6" w:rsidRPr="00C80F8E" w:rsidRDefault="00E826C6" w:rsidP="00EE6D53">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202</w:t>
            </w:r>
            <w:r w:rsidR="003D6C30" w:rsidRPr="00C80F8E">
              <w:rPr>
                <w:rFonts w:ascii="Abadi" w:hAnsi="Abadi" w:cstheme="minorHAnsi"/>
                <w:b/>
                <w:bCs/>
                <w:iCs/>
                <w:color w:val="FFFFFF" w:themeColor="background1"/>
                <w:sz w:val="20"/>
                <w:szCs w:val="20"/>
                <w:lang w:val="es-ES_tradnl"/>
              </w:rPr>
              <w:t>4</w:t>
            </w:r>
          </w:p>
        </w:tc>
      </w:tr>
      <w:tr w:rsidR="005C1718" w:rsidRPr="00C80F8E" w14:paraId="0C16E901" w14:textId="77777777" w:rsidTr="005C17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007" w:type="dxa"/>
            <w:noWrap/>
            <w:vAlign w:val="bottom"/>
          </w:tcPr>
          <w:p w14:paraId="7B7019BC" w14:textId="05D6AE9E" w:rsidR="005C1718" w:rsidRPr="00C80F8E" w:rsidRDefault="005C1718" w:rsidP="005C1718">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 xml:space="preserve">Orlando Mateo </w:t>
            </w:r>
            <w:r w:rsidR="00E408F3" w:rsidRPr="00C80F8E">
              <w:rPr>
                <w:rFonts w:ascii="Abadi" w:hAnsi="Abadi" w:cstheme="minorHAnsi"/>
                <w:iCs/>
                <w:color w:val="000000"/>
                <w:sz w:val="20"/>
                <w:szCs w:val="20"/>
                <w:lang w:val="es-ES_tradnl"/>
              </w:rPr>
              <w:t>(Exempleado)</w:t>
            </w:r>
          </w:p>
        </w:tc>
        <w:tc>
          <w:tcPr>
            <w:tcW w:w="2410" w:type="dxa"/>
            <w:noWrap/>
            <w:vAlign w:val="bottom"/>
          </w:tcPr>
          <w:p w14:paraId="16982867" w14:textId="394191D0" w:rsidR="005C1718" w:rsidRPr="00C80F8E" w:rsidRDefault="005C1718" w:rsidP="005C171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c>
          <w:tcPr>
            <w:tcW w:w="1960" w:type="dxa"/>
            <w:noWrap/>
            <w:vAlign w:val="bottom"/>
          </w:tcPr>
          <w:p w14:paraId="6652A87E" w14:textId="1097FDFC" w:rsidR="005C1718" w:rsidRPr="00C80F8E" w:rsidRDefault="005C1718" w:rsidP="005C171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438,123.60</w:t>
            </w:r>
          </w:p>
        </w:tc>
      </w:tr>
      <w:tr w:rsidR="005C1718" w:rsidRPr="00C80F8E" w14:paraId="0708E542" w14:textId="77777777" w:rsidTr="005C17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007" w:type="dxa"/>
            <w:noWrap/>
            <w:vAlign w:val="bottom"/>
          </w:tcPr>
          <w:p w14:paraId="3234A748" w14:textId="308CD00B" w:rsidR="005C1718" w:rsidRPr="00C80F8E" w:rsidRDefault="005C1718" w:rsidP="005C1718">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Martin Cuevas</w:t>
            </w:r>
            <w:r w:rsidR="00E408F3" w:rsidRPr="00C80F8E">
              <w:rPr>
                <w:rFonts w:ascii="Abadi" w:hAnsi="Abadi" w:cstheme="minorHAnsi"/>
                <w:iCs/>
                <w:color w:val="000000"/>
                <w:sz w:val="20"/>
                <w:szCs w:val="20"/>
                <w:lang w:val="es-ES_tradnl"/>
              </w:rPr>
              <w:t xml:space="preserve"> (Exempleado)</w:t>
            </w:r>
          </w:p>
        </w:tc>
        <w:tc>
          <w:tcPr>
            <w:tcW w:w="2410" w:type="dxa"/>
            <w:noWrap/>
            <w:vAlign w:val="bottom"/>
          </w:tcPr>
          <w:p w14:paraId="2902433C" w14:textId="23839E8C" w:rsidR="005C1718" w:rsidRPr="00C80F8E" w:rsidRDefault="005C1718" w:rsidP="005C171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c>
          <w:tcPr>
            <w:tcW w:w="1960" w:type="dxa"/>
            <w:noWrap/>
            <w:vAlign w:val="bottom"/>
          </w:tcPr>
          <w:p w14:paraId="56DA129D" w14:textId="5CB78A27" w:rsidR="005C1718" w:rsidRPr="00C80F8E" w:rsidRDefault="005C1718" w:rsidP="005C171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152,754.02</w:t>
            </w:r>
          </w:p>
        </w:tc>
      </w:tr>
      <w:tr w:rsidR="005C1718" w:rsidRPr="00C80F8E" w14:paraId="66D72713" w14:textId="77777777" w:rsidTr="005C17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007" w:type="dxa"/>
            <w:noWrap/>
            <w:vAlign w:val="bottom"/>
          </w:tcPr>
          <w:p w14:paraId="6A93B839" w14:textId="55E10AA9" w:rsidR="005C1718" w:rsidRPr="00C80F8E" w:rsidRDefault="005C1718" w:rsidP="005C1718">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Graciela Herrera</w:t>
            </w:r>
            <w:r w:rsidR="00E408F3" w:rsidRPr="00C80F8E">
              <w:rPr>
                <w:rFonts w:ascii="Abadi" w:hAnsi="Abadi" w:cstheme="minorHAnsi"/>
                <w:iCs/>
                <w:color w:val="000000"/>
                <w:sz w:val="20"/>
                <w:szCs w:val="20"/>
                <w:lang w:val="es-ES_tradnl"/>
              </w:rPr>
              <w:t xml:space="preserve"> (Exempleado)</w:t>
            </w:r>
          </w:p>
        </w:tc>
        <w:tc>
          <w:tcPr>
            <w:tcW w:w="2410" w:type="dxa"/>
            <w:noWrap/>
            <w:vAlign w:val="bottom"/>
          </w:tcPr>
          <w:p w14:paraId="400F5666" w14:textId="0B662D5D" w:rsidR="005C1718" w:rsidRPr="00C80F8E" w:rsidRDefault="005C1718" w:rsidP="005C171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c>
          <w:tcPr>
            <w:tcW w:w="1960" w:type="dxa"/>
            <w:noWrap/>
            <w:vAlign w:val="bottom"/>
          </w:tcPr>
          <w:p w14:paraId="27724BEA" w14:textId="133382C0" w:rsidR="005C1718" w:rsidRPr="00C80F8E" w:rsidRDefault="005C1718" w:rsidP="005C171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405,151.83</w:t>
            </w:r>
          </w:p>
        </w:tc>
      </w:tr>
      <w:tr w:rsidR="00E2200E" w:rsidRPr="00C80F8E" w14:paraId="41A407B5" w14:textId="77777777" w:rsidTr="005C17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4"/>
        </w:trPr>
        <w:tc>
          <w:tcPr>
            <w:tcW w:w="5007" w:type="dxa"/>
            <w:noWrap/>
            <w:vAlign w:val="bottom"/>
          </w:tcPr>
          <w:p w14:paraId="5590611C" w14:textId="77777777" w:rsidR="00E2200E" w:rsidRPr="00C80F8E" w:rsidRDefault="00E2200E" w:rsidP="005D343D">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 xml:space="preserve">Dirección General de Impuestos Interno (DGII)  </w:t>
            </w:r>
          </w:p>
        </w:tc>
        <w:tc>
          <w:tcPr>
            <w:tcW w:w="2410" w:type="dxa"/>
            <w:tcBorders>
              <w:bottom w:val="single" w:sz="12" w:space="0" w:color="auto"/>
            </w:tcBorders>
            <w:noWrap/>
            <w:vAlign w:val="bottom"/>
          </w:tcPr>
          <w:p w14:paraId="1FB1AABA" w14:textId="2A20AF71" w:rsidR="00E2200E" w:rsidRPr="00C80F8E" w:rsidRDefault="00364480" w:rsidP="005D343D">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c>
          <w:tcPr>
            <w:tcW w:w="1960" w:type="dxa"/>
            <w:tcBorders>
              <w:bottom w:val="single" w:sz="12" w:space="0" w:color="auto"/>
            </w:tcBorders>
            <w:noWrap/>
            <w:vAlign w:val="bottom"/>
          </w:tcPr>
          <w:p w14:paraId="62CF3152" w14:textId="20D0A8CE" w:rsidR="00E2200E" w:rsidRPr="00C80F8E" w:rsidRDefault="00E2200E" w:rsidP="005D343D">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 xml:space="preserve">             </w:t>
            </w:r>
            <w:r w:rsidR="000475FB" w:rsidRPr="00C80F8E">
              <w:rPr>
                <w:rFonts w:ascii="Abadi" w:hAnsi="Abadi" w:cstheme="minorHAnsi"/>
                <w:iCs/>
                <w:color w:val="000000"/>
                <w:sz w:val="20"/>
                <w:szCs w:val="20"/>
                <w:lang w:val="es-ES_tradnl"/>
              </w:rPr>
              <w:t>38,016.86</w:t>
            </w:r>
          </w:p>
        </w:tc>
      </w:tr>
      <w:tr w:rsidR="00E2200E" w:rsidRPr="00C80F8E" w14:paraId="2CF4878B" w14:textId="77777777" w:rsidTr="005C17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5007" w:type="dxa"/>
            <w:shd w:val="clear" w:color="auto" w:fill="FFFFFF" w:themeFill="background1"/>
            <w:noWrap/>
            <w:vAlign w:val="bottom"/>
          </w:tcPr>
          <w:p w14:paraId="4CC87A54" w14:textId="77777777" w:rsidR="00E2200E" w:rsidRPr="00C80F8E" w:rsidRDefault="00E2200E" w:rsidP="005D343D">
            <w:pPr>
              <w:spacing w:line="240" w:lineRule="auto"/>
              <w:contextualSpacing/>
              <w:jc w:val="both"/>
              <w:rPr>
                <w:rFonts w:ascii="Abadi" w:hAnsi="Abadi" w:cstheme="minorHAnsi"/>
                <w:iCs/>
                <w:sz w:val="20"/>
                <w:szCs w:val="20"/>
                <w:lang w:val="es-ES_tradnl"/>
              </w:rPr>
            </w:pPr>
            <w:proofErr w:type="gramStart"/>
            <w:r w:rsidRPr="00C80F8E">
              <w:rPr>
                <w:rFonts w:ascii="Abadi" w:hAnsi="Abadi" w:cstheme="minorHAnsi"/>
                <w:b/>
                <w:bCs/>
                <w:iCs/>
                <w:sz w:val="20"/>
                <w:szCs w:val="20"/>
                <w:lang w:val="es-ES_tradnl"/>
              </w:rPr>
              <w:t>Total</w:t>
            </w:r>
            <w:proofErr w:type="gramEnd"/>
            <w:r w:rsidRPr="00C80F8E">
              <w:rPr>
                <w:rFonts w:ascii="Abadi" w:hAnsi="Abadi" w:cstheme="minorHAnsi"/>
                <w:b/>
                <w:bCs/>
                <w:iCs/>
                <w:sz w:val="20"/>
                <w:szCs w:val="20"/>
                <w:lang w:val="es-ES_tradnl"/>
              </w:rPr>
              <w:t xml:space="preserve"> Otras Cuentas por Cobrar                                                   </w:t>
            </w:r>
          </w:p>
        </w:tc>
        <w:tc>
          <w:tcPr>
            <w:tcW w:w="2410" w:type="dxa"/>
            <w:tcBorders>
              <w:top w:val="single" w:sz="12" w:space="0" w:color="auto"/>
              <w:bottom w:val="double" w:sz="4" w:space="0" w:color="auto"/>
            </w:tcBorders>
            <w:shd w:val="clear" w:color="auto" w:fill="FFFFFF" w:themeFill="background1"/>
            <w:noWrap/>
            <w:vAlign w:val="bottom"/>
          </w:tcPr>
          <w:p w14:paraId="0AE23533" w14:textId="2ADB0B40" w:rsidR="00E2200E" w:rsidRPr="00C80F8E" w:rsidRDefault="005C1718" w:rsidP="005D343D">
            <w:pPr>
              <w:spacing w:line="240" w:lineRule="auto"/>
              <w:contextualSpacing/>
              <w:jc w:val="right"/>
              <w:rPr>
                <w:rFonts w:ascii="Abadi" w:hAnsi="Abadi" w:cstheme="minorHAnsi"/>
                <w:b/>
                <w:bCs/>
                <w:iCs/>
                <w:sz w:val="20"/>
                <w:szCs w:val="20"/>
                <w:lang w:val="es-ES_tradnl"/>
              </w:rPr>
            </w:pPr>
            <w:r w:rsidRPr="00C80F8E">
              <w:rPr>
                <w:rFonts w:ascii="Abadi" w:hAnsi="Abadi" w:cstheme="minorHAnsi"/>
                <w:b/>
                <w:bCs/>
                <w:iCs/>
                <w:sz w:val="20"/>
                <w:szCs w:val="20"/>
                <w:lang w:val="es-ES_tradnl"/>
              </w:rPr>
              <w:t>0.0</w:t>
            </w:r>
            <w:r w:rsidR="00CB6AD8" w:rsidRPr="00C80F8E">
              <w:rPr>
                <w:rFonts w:ascii="Abadi" w:hAnsi="Abadi" w:cstheme="minorHAnsi"/>
                <w:b/>
                <w:bCs/>
                <w:iCs/>
                <w:sz w:val="20"/>
                <w:szCs w:val="20"/>
                <w:lang w:val="es-ES_tradnl"/>
              </w:rPr>
              <w:t>0</w:t>
            </w:r>
          </w:p>
        </w:tc>
        <w:tc>
          <w:tcPr>
            <w:tcW w:w="1960" w:type="dxa"/>
            <w:tcBorders>
              <w:top w:val="single" w:sz="12" w:space="0" w:color="auto"/>
              <w:bottom w:val="double" w:sz="4" w:space="0" w:color="auto"/>
            </w:tcBorders>
            <w:shd w:val="clear" w:color="auto" w:fill="FFFFFF" w:themeFill="background1"/>
            <w:noWrap/>
            <w:vAlign w:val="bottom"/>
          </w:tcPr>
          <w:p w14:paraId="104E753E" w14:textId="253286B1" w:rsidR="00E2200E" w:rsidRPr="00C80F8E" w:rsidRDefault="000475FB" w:rsidP="005D343D">
            <w:pPr>
              <w:spacing w:line="240" w:lineRule="auto"/>
              <w:contextualSpacing/>
              <w:jc w:val="right"/>
              <w:rPr>
                <w:rFonts w:ascii="Abadi" w:hAnsi="Abadi" w:cstheme="minorHAnsi"/>
                <w:b/>
                <w:bCs/>
                <w:iCs/>
                <w:sz w:val="20"/>
                <w:szCs w:val="20"/>
                <w:lang w:val="es-ES_tradnl"/>
              </w:rPr>
            </w:pPr>
            <w:r w:rsidRPr="00C80F8E">
              <w:rPr>
                <w:rFonts w:ascii="Abadi" w:hAnsi="Abadi" w:cstheme="minorHAnsi"/>
                <w:b/>
                <w:bCs/>
                <w:iCs/>
                <w:sz w:val="20"/>
                <w:szCs w:val="20"/>
                <w:lang w:val="es-ES_tradnl"/>
              </w:rPr>
              <w:t>1,034,046.31</w:t>
            </w:r>
          </w:p>
        </w:tc>
      </w:tr>
    </w:tbl>
    <w:p w14:paraId="287159B8" w14:textId="77777777" w:rsidR="00F07000" w:rsidRPr="00C80F8E" w:rsidRDefault="00F07000" w:rsidP="0026296D">
      <w:pPr>
        <w:spacing w:line="240" w:lineRule="auto"/>
        <w:contextualSpacing/>
        <w:rPr>
          <w:rFonts w:ascii="Abadi" w:hAnsi="Abadi" w:cstheme="minorHAnsi"/>
          <w:b/>
          <w:sz w:val="20"/>
          <w:szCs w:val="20"/>
          <w:lang w:val="es-ES_tradnl"/>
        </w:rPr>
      </w:pPr>
    </w:p>
    <w:p w14:paraId="2EC3407E" w14:textId="0F17EC62" w:rsidR="0008385C" w:rsidRPr="00C80F8E" w:rsidRDefault="00E516C7" w:rsidP="00701CFB">
      <w:pPr>
        <w:rPr>
          <w:rFonts w:ascii="Abadi" w:hAnsi="Abadi" w:cstheme="minorHAnsi"/>
          <w:b/>
          <w:sz w:val="20"/>
          <w:szCs w:val="20"/>
          <w:lang w:val="es-ES_tradnl"/>
        </w:rPr>
      </w:pPr>
      <w:r w:rsidRPr="00C80F8E">
        <w:rPr>
          <w:rFonts w:ascii="Abadi" w:hAnsi="Abadi" w:cstheme="minorHAnsi"/>
          <w:b/>
          <w:sz w:val="20"/>
          <w:szCs w:val="20"/>
          <w:lang w:val="es-ES_tradnl"/>
        </w:rPr>
        <w:t>9</w:t>
      </w:r>
      <w:r w:rsidR="004336F8" w:rsidRPr="00C80F8E">
        <w:rPr>
          <w:rFonts w:ascii="Abadi" w:hAnsi="Abadi" w:cstheme="minorHAnsi"/>
          <w:b/>
          <w:sz w:val="20"/>
          <w:szCs w:val="20"/>
          <w:lang w:val="es-ES_tradnl"/>
        </w:rPr>
        <w:t>.</w:t>
      </w:r>
      <w:r w:rsidR="00EE6EDB" w:rsidRPr="00C80F8E">
        <w:rPr>
          <w:rFonts w:ascii="Abadi" w:hAnsi="Abadi" w:cstheme="minorHAnsi"/>
          <w:b/>
          <w:sz w:val="20"/>
          <w:szCs w:val="20"/>
          <w:lang w:val="es-ES_tradnl"/>
        </w:rPr>
        <w:t>3</w:t>
      </w:r>
      <w:r w:rsidR="00197018" w:rsidRPr="00C80F8E">
        <w:rPr>
          <w:rFonts w:ascii="Abadi" w:hAnsi="Abadi" w:cstheme="minorHAnsi"/>
          <w:b/>
          <w:sz w:val="20"/>
          <w:szCs w:val="20"/>
          <w:lang w:val="es-ES_tradnl"/>
        </w:rPr>
        <w:t xml:space="preserve"> </w:t>
      </w:r>
      <w:r w:rsidR="0008385C" w:rsidRPr="00C80F8E">
        <w:rPr>
          <w:rFonts w:ascii="Abadi" w:hAnsi="Abadi" w:cstheme="minorHAnsi"/>
          <w:b/>
          <w:sz w:val="20"/>
          <w:szCs w:val="20"/>
          <w:lang w:val="es-ES_tradnl"/>
        </w:rPr>
        <w:t xml:space="preserve">Anticipos a Proveedores </w:t>
      </w:r>
    </w:p>
    <w:p w14:paraId="2B16C5D5" w14:textId="0AEC455A" w:rsidR="00354BEC" w:rsidRPr="00C80F8E" w:rsidRDefault="009B0821" w:rsidP="00354BEC">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Al 30 de junio de 2025, el saldo por concepto de anticipos a proveedores ascendió a RD$8,683,141.25, mientras que al 30 de junio de 2024 dicho saldo era de RD$1,308,445.37. Esta diferencia representa un incremento absoluto de RD$7,374,695.88 y una variación relativa positiva de 563.73%, reflejando un mayor volumen de contrataciones y compromisos asumidos con proveedores durante el primer semestre del ejercicio 2025.</w:t>
      </w:r>
      <w:r w:rsidR="00354BEC" w:rsidRPr="00C80F8E">
        <w:rPr>
          <w:rFonts w:ascii="Abadi" w:hAnsi="Abadi" w:cstheme="minorHAnsi"/>
          <w:bCs/>
          <w:iCs/>
          <w:sz w:val="20"/>
          <w:szCs w:val="20"/>
          <w:lang w:val="es-ES_tradnl" w:eastAsia="es-ES"/>
        </w:rPr>
        <w:t>, esta partida está conformada por lo siguiente:</w:t>
      </w:r>
    </w:p>
    <w:p w14:paraId="7BA40FDB" w14:textId="77777777" w:rsidR="00354BEC" w:rsidRPr="00C80F8E" w:rsidRDefault="00354BEC" w:rsidP="00354BEC">
      <w:pPr>
        <w:spacing w:line="240" w:lineRule="auto"/>
        <w:contextualSpacing/>
        <w:rPr>
          <w:rFonts w:ascii="Abadi" w:hAnsi="Abadi" w:cstheme="minorHAnsi"/>
          <w:b/>
          <w:sz w:val="20"/>
          <w:szCs w:val="20"/>
          <w:lang w:val="es-ES_tradnl"/>
        </w:rPr>
      </w:pPr>
    </w:p>
    <w:tbl>
      <w:tblPr>
        <w:tblW w:w="92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310"/>
        <w:gridCol w:w="1971"/>
      </w:tblGrid>
      <w:tr w:rsidR="00E826C6" w:rsidRPr="00C80F8E" w14:paraId="0C4967D0" w14:textId="77777777" w:rsidTr="00B743E2">
        <w:trPr>
          <w:trHeight w:val="247"/>
        </w:trPr>
        <w:tc>
          <w:tcPr>
            <w:tcW w:w="4998"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0DE6AB52" w14:textId="77777777" w:rsidR="00E826C6" w:rsidRPr="00C80F8E" w:rsidRDefault="00E826C6" w:rsidP="001C4192">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Descripción</w:t>
            </w:r>
          </w:p>
        </w:tc>
        <w:tc>
          <w:tcPr>
            <w:tcW w:w="2310" w:type="dxa"/>
            <w:tcBorders>
              <w:top w:val="single" w:sz="4" w:space="0" w:color="auto"/>
              <w:left w:val="single" w:sz="4" w:space="0" w:color="auto"/>
              <w:bottom w:val="single" w:sz="4" w:space="0" w:color="auto"/>
              <w:right w:val="single" w:sz="4" w:space="0" w:color="auto"/>
            </w:tcBorders>
            <w:shd w:val="clear" w:color="auto" w:fill="0070C0"/>
            <w:noWrap/>
          </w:tcPr>
          <w:p w14:paraId="65471718" w14:textId="6FF9117C" w:rsidR="00E826C6" w:rsidRPr="00C80F8E" w:rsidRDefault="00E826C6" w:rsidP="001C4192">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202</w:t>
            </w:r>
            <w:r w:rsidR="003D6C30" w:rsidRPr="00C80F8E">
              <w:rPr>
                <w:rFonts w:ascii="Abadi" w:hAnsi="Abadi" w:cstheme="minorHAnsi"/>
                <w:b/>
                <w:bCs/>
                <w:iCs/>
                <w:color w:val="FFFFFF" w:themeColor="background1"/>
                <w:sz w:val="20"/>
                <w:szCs w:val="20"/>
                <w:lang w:val="es-ES_tradnl"/>
              </w:rPr>
              <w:t>5</w:t>
            </w:r>
          </w:p>
        </w:tc>
        <w:tc>
          <w:tcPr>
            <w:tcW w:w="1971" w:type="dxa"/>
            <w:tcBorders>
              <w:top w:val="single" w:sz="4" w:space="0" w:color="auto"/>
              <w:left w:val="single" w:sz="4" w:space="0" w:color="auto"/>
              <w:bottom w:val="single" w:sz="4" w:space="0" w:color="auto"/>
              <w:right w:val="single" w:sz="4" w:space="0" w:color="auto"/>
            </w:tcBorders>
            <w:shd w:val="clear" w:color="auto" w:fill="0070C0"/>
            <w:noWrap/>
          </w:tcPr>
          <w:p w14:paraId="734DD74C" w14:textId="1E14223E" w:rsidR="00E826C6" w:rsidRPr="00C80F8E" w:rsidRDefault="00E826C6" w:rsidP="001C4192">
            <w:pPr>
              <w:spacing w:line="240" w:lineRule="auto"/>
              <w:contextualSpacing/>
              <w:jc w:val="center"/>
              <w:rPr>
                <w:rFonts w:ascii="Abadi" w:hAnsi="Abadi" w:cstheme="minorHAnsi"/>
                <w:b/>
                <w:bCs/>
                <w:iCs/>
                <w:color w:val="FFFFFF" w:themeColor="background1"/>
                <w:sz w:val="20"/>
                <w:szCs w:val="20"/>
                <w:lang w:val="es-ES_tradnl"/>
              </w:rPr>
            </w:pPr>
            <w:r w:rsidRPr="00C80F8E">
              <w:rPr>
                <w:rFonts w:ascii="Abadi" w:hAnsi="Abadi" w:cstheme="minorHAnsi"/>
                <w:b/>
                <w:bCs/>
                <w:iCs/>
                <w:color w:val="FFFFFF" w:themeColor="background1"/>
                <w:sz w:val="20"/>
                <w:szCs w:val="20"/>
                <w:lang w:val="es-ES_tradnl"/>
              </w:rPr>
              <w:t>202</w:t>
            </w:r>
            <w:r w:rsidR="003D6C30" w:rsidRPr="00C80F8E">
              <w:rPr>
                <w:rFonts w:ascii="Abadi" w:hAnsi="Abadi" w:cstheme="minorHAnsi"/>
                <w:b/>
                <w:bCs/>
                <w:iCs/>
                <w:color w:val="FFFFFF" w:themeColor="background1"/>
                <w:sz w:val="20"/>
                <w:szCs w:val="20"/>
                <w:lang w:val="es-ES_tradnl"/>
              </w:rPr>
              <w:t>4</w:t>
            </w:r>
          </w:p>
        </w:tc>
      </w:tr>
      <w:tr w:rsidR="00572788" w:rsidRPr="00C80F8E" w14:paraId="7CA1E0CF" w14:textId="77777777" w:rsidTr="00325F9B">
        <w:trPr>
          <w:trHeight w:val="247"/>
        </w:trPr>
        <w:tc>
          <w:tcPr>
            <w:tcW w:w="4998" w:type="dxa"/>
            <w:noWrap/>
            <w:vAlign w:val="bottom"/>
          </w:tcPr>
          <w:p w14:paraId="2B2E07B1" w14:textId="405A99BB" w:rsidR="00572788" w:rsidRPr="00C80F8E" w:rsidRDefault="008C3256" w:rsidP="00325F9B">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Compañía Armenteros de Const. Civiles</w:t>
            </w:r>
            <w:r w:rsidR="00407A77" w:rsidRPr="00C80F8E">
              <w:rPr>
                <w:rFonts w:ascii="Abadi" w:hAnsi="Abadi" w:cstheme="minorHAnsi"/>
                <w:iCs/>
                <w:color w:val="000000"/>
                <w:sz w:val="20"/>
                <w:szCs w:val="20"/>
                <w:lang w:val="es-ES_tradnl"/>
              </w:rPr>
              <w:t>, SRL</w:t>
            </w:r>
          </w:p>
        </w:tc>
        <w:tc>
          <w:tcPr>
            <w:tcW w:w="2310" w:type="dxa"/>
            <w:noWrap/>
            <w:vAlign w:val="bottom"/>
          </w:tcPr>
          <w:p w14:paraId="1FE9CF45" w14:textId="635C878C" w:rsidR="00572788" w:rsidRPr="00C80F8E" w:rsidRDefault="00407A77" w:rsidP="00325F9B">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5,201,325.13</w:t>
            </w:r>
          </w:p>
        </w:tc>
        <w:tc>
          <w:tcPr>
            <w:tcW w:w="1971" w:type="dxa"/>
            <w:noWrap/>
            <w:vAlign w:val="bottom"/>
          </w:tcPr>
          <w:p w14:paraId="67C145DB" w14:textId="0923BF71" w:rsidR="00572788" w:rsidRPr="00C80F8E" w:rsidRDefault="00A170DE" w:rsidP="00325F9B">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r>
      <w:tr w:rsidR="00E36E22" w:rsidRPr="00C80F8E" w14:paraId="488E2864" w14:textId="77777777" w:rsidTr="00325F9B">
        <w:trPr>
          <w:trHeight w:val="247"/>
        </w:trPr>
        <w:tc>
          <w:tcPr>
            <w:tcW w:w="4998" w:type="dxa"/>
            <w:noWrap/>
            <w:vAlign w:val="bottom"/>
          </w:tcPr>
          <w:p w14:paraId="68A1DEEA" w14:textId="71287373" w:rsidR="00E36E22" w:rsidRPr="00C80F8E" w:rsidRDefault="004B4EA7" w:rsidP="00325F9B">
            <w:pPr>
              <w:spacing w:line="240" w:lineRule="auto"/>
              <w:contextualSpacing/>
              <w:jc w:val="both"/>
              <w:rPr>
                <w:rFonts w:ascii="Abadi" w:hAnsi="Abadi" w:cstheme="minorHAnsi"/>
                <w:iCs/>
                <w:color w:val="000000"/>
                <w:sz w:val="20"/>
                <w:szCs w:val="20"/>
                <w:lang w:val="es-ES_tradnl"/>
              </w:rPr>
            </w:pPr>
            <w:proofErr w:type="spellStart"/>
            <w:r w:rsidRPr="00C80F8E">
              <w:rPr>
                <w:rFonts w:ascii="Abadi" w:hAnsi="Abadi" w:cstheme="minorHAnsi"/>
                <w:iCs/>
                <w:color w:val="000000"/>
                <w:sz w:val="20"/>
                <w:szCs w:val="20"/>
                <w:lang w:val="es-ES_tradnl"/>
              </w:rPr>
              <w:t>Adgile</w:t>
            </w:r>
            <w:proofErr w:type="spellEnd"/>
            <w:r w:rsidRPr="00C80F8E">
              <w:rPr>
                <w:rFonts w:ascii="Abadi" w:hAnsi="Abadi" w:cstheme="minorHAnsi"/>
                <w:iCs/>
                <w:color w:val="000000"/>
                <w:sz w:val="20"/>
                <w:szCs w:val="20"/>
                <w:lang w:val="es-ES_tradnl"/>
              </w:rPr>
              <w:t>, SAS</w:t>
            </w:r>
          </w:p>
        </w:tc>
        <w:tc>
          <w:tcPr>
            <w:tcW w:w="2310" w:type="dxa"/>
            <w:noWrap/>
            <w:vAlign w:val="bottom"/>
          </w:tcPr>
          <w:p w14:paraId="24F1A96D" w14:textId="2AA23DD6" w:rsidR="00E36E22" w:rsidRPr="00C80F8E" w:rsidRDefault="004B4EA7" w:rsidP="00325F9B">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600,000.00</w:t>
            </w:r>
          </w:p>
        </w:tc>
        <w:tc>
          <w:tcPr>
            <w:tcW w:w="1971" w:type="dxa"/>
            <w:noWrap/>
            <w:vAlign w:val="bottom"/>
          </w:tcPr>
          <w:p w14:paraId="65FD7C15" w14:textId="3279DD94" w:rsidR="00E36E22" w:rsidRPr="00C80F8E" w:rsidRDefault="00A170DE" w:rsidP="00325F9B">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r>
      <w:tr w:rsidR="00E36E22" w:rsidRPr="00C80F8E" w14:paraId="7B1555FA" w14:textId="77777777" w:rsidTr="00325F9B">
        <w:trPr>
          <w:trHeight w:val="247"/>
        </w:trPr>
        <w:tc>
          <w:tcPr>
            <w:tcW w:w="4998" w:type="dxa"/>
            <w:noWrap/>
            <w:vAlign w:val="bottom"/>
          </w:tcPr>
          <w:p w14:paraId="7665A50F" w14:textId="71551992" w:rsidR="00E36E22" w:rsidRPr="00C80F8E" w:rsidRDefault="00383F77" w:rsidP="00325F9B">
            <w:pPr>
              <w:spacing w:line="240" w:lineRule="auto"/>
              <w:contextualSpacing/>
              <w:jc w:val="both"/>
              <w:rPr>
                <w:rFonts w:ascii="Abadi" w:hAnsi="Abadi" w:cstheme="minorHAnsi"/>
                <w:iCs/>
                <w:color w:val="000000"/>
                <w:sz w:val="20"/>
                <w:szCs w:val="20"/>
                <w:lang w:val="es-ES_tradnl"/>
              </w:rPr>
            </w:pPr>
            <w:proofErr w:type="spellStart"/>
            <w:r w:rsidRPr="00C80F8E">
              <w:rPr>
                <w:rFonts w:ascii="Abadi" w:hAnsi="Abadi" w:cstheme="minorHAnsi"/>
                <w:iCs/>
                <w:color w:val="000000"/>
                <w:sz w:val="20"/>
                <w:szCs w:val="20"/>
                <w:lang w:val="es-ES_tradnl"/>
              </w:rPr>
              <w:t>Dominican</w:t>
            </w:r>
            <w:proofErr w:type="spellEnd"/>
            <w:r w:rsidRPr="00C80F8E">
              <w:rPr>
                <w:rFonts w:ascii="Abadi" w:hAnsi="Abadi" w:cstheme="minorHAnsi"/>
                <w:iCs/>
                <w:color w:val="000000"/>
                <w:sz w:val="20"/>
                <w:szCs w:val="20"/>
                <w:lang w:val="es-ES_tradnl"/>
              </w:rPr>
              <w:t xml:space="preserve"> </w:t>
            </w:r>
            <w:proofErr w:type="spellStart"/>
            <w:r w:rsidRPr="00C80F8E">
              <w:rPr>
                <w:rFonts w:ascii="Abadi" w:hAnsi="Abadi" w:cstheme="minorHAnsi"/>
                <w:iCs/>
                <w:color w:val="000000"/>
                <w:sz w:val="20"/>
                <w:szCs w:val="20"/>
                <w:lang w:val="es-ES_tradnl"/>
              </w:rPr>
              <w:t>Risk</w:t>
            </w:r>
            <w:proofErr w:type="spellEnd"/>
            <w:r w:rsidRPr="00C80F8E">
              <w:rPr>
                <w:rFonts w:ascii="Abadi" w:hAnsi="Abadi" w:cstheme="minorHAnsi"/>
                <w:iCs/>
                <w:color w:val="000000"/>
                <w:sz w:val="20"/>
                <w:szCs w:val="20"/>
                <w:lang w:val="es-ES_tradnl"/>
              </w:rPr>
              <w:t xml:space="preserve"> &amp; </w:t>
            </w:r>
            <w:proofErr w:type="spellStart"/>
            <w:r w:rsidRPr="00C80F8E">
              <w:rPr>
                <w:rFonts w:ascii="Abadi" w:hAnsi="Abadi" w:cstheme="minorHAnsi"/>
                <w:iCs/>
                <w:color w:val="000000"/>
                <w:sz w:val="20"/>
                <w:szCs w:val="20"/>
                <w:lang w:val="es-ES_tradnl"/>
              </w:rPr>
              <w:t>Compliance</w:t>
            </w:r>
            <w:proofErr w:type="spellEnd"/>
            <w:r w:rsidRPr="00C80F8E">
              <w:rPr>
                <w:rFonts w:ascii="Abadi" w:hAnsi="Abadi" w:cstheme="minorHAnsi"/>
                <w:iCs/>
                <w:color w:val="000000"/>
                <w:sz w:val="20"/>
                <w:szCs w:val="20"/>
                <w:lang w:val="es-ES_tradnl"/>
              </w:rPr>
              <w:t xml:space="preserve"> SRL</w:t>
            </w:r>
          </w:p>
        </w:tc>
        <w:tc>
          <w:tcPr>
            <w:tcW w:w="2310" w:type="dxa"/>
            <w:noWrap/>
            <w:vAlign w:val="bottom"/>
          </w:tcPr>
          <w:p w14:paraId="347A1E12" w14:textId="628BF893" w:rsidR="00E36E22" w:rsidRPr="00C80F8E" w:rsidRDefault="00383F77" w:rsidP="00325F9B">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297,748.05</w:t>
            </w:r>
          </w:p>
        </w:tc>
        <w:tc>
          <w:tcPr>
            <w:tcW w:w="1971" w:type="dxa"/>
            <w:noWrap/>
            <w:vAlign w:val="bottom"/>
          </w:tcPr>
          <w:p w14:paraId="4BE0687D" w14:textId="35208FF0" w:rsidR="00E36E22" w:rsidRPr="00C80F8E" w:rsidRDefault="00A170DE" w:rsidP="00325F9B">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r>
      <w:tr w:rsidR="00E36E22" w:rsidRPr="00C80F8E" w14:paraId="221C0C50" w14:textId="77777777" w:rsidTr="00325F9B">
        <w:trPr>
          <w:trHeight w:val="247"/>
        </w:trPr>
        <w:tc>
          <w:tcPr>
            <w:tcW w:w="4998" w:type="dxa"/>
            <w:noWrap/>
            <w:vAlign w:val="bottom"/>
          </w:tcPr>
          <w:p w14:paraId="7A9F9D3C" w14:textId="36FF5FFB" w:rsidR="00E36E22" w:rsidRPr="00C80F8E" w:rsidRDefault="003A1C72" w:rsidP="00325F9B">
            <w:pPr>
              <w:spacing w:line="240" w:lineRule="auto"/>
              <w:contextualSpacing/>
              <w:jc w:val="both"/>
              <w:rPr>
                <w:rFonts w:ascii="Abadi" w:hAnsi="Abadi" w:cstheme="minorHAnsi"/>
                <w:iCs/>
                <w:color w:val="000000"/>
                <w:sz w:val="20"/>
                <w:szCs w:val="20"/>
                <w:lang w:val="es-ES_tradnl"/>
              </w:rPr>
            </w:pPr>
            <w:proofErr w:type="spellStart"/>
            <w:r w:rsidRPr="00C80F8E">
              <w:rPr>
                <w:rFonts w:ascii="Abadi" w:hAnsi="Abadi" w:cstheme="minorHAnsi"/>
                <w:iCs/>
                <w:color w:val="000000"/>
                <w:sz w:val="20"/>
                <w:szCs w:val="20"/>
                <w:lang w:val="es-ES_tradnl"/>
              </w:rPr>
              <w:t>Tradenergy</w:t>
            </w:r>
            <w:proofErr w:type="spellEnd"/>
            <w:r w:rsidRPr="00C80F8E">
              <w:rPr>
                <w:rFonts w:ascii="Abadi" w:hAnsi="Abadi" w:cstheme="minorHAnsi"/>
                <w:iCs/>
                <w:color w:val="000000"/>
                <w:sz w:val="20"/>
                <w:szCs w:val="20"/>
                <w:lang w:val="es-ES_tradnl"/>
              </w:rPr>
              <w:t>, SRL</w:t>
            </w:r>
          </w:p>
        </w:tc>
        <w:tc>
          <w:tcPr>
            <w:tcW w:w="2310" w:type="dxa"/>
            <w:noWrap/>
            <w:vAlign w:val="bottom"/>
          </w:tcPr>
          <w:p w14:paraId="58600C18" w14:textId="38760B3E" w:rsidR="00E36E22" w:rsidRPr="00C80F8E" w:rsidRDefault="003A1C72" w:rsidP="00325F9B">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634,075.07</w:t>
            </w:r>
          </w:p>
        </w:tc>
        <w:tc>
          <w:tcPr>
            <w:tcW w:w="1971" w:type="dxa"/>
            <w:noWrap/>
            <w:vAlign w:val="bottom"/>
          </w:tcPr>
          <w:p w14:paraId="77BCD3F3" w14:textId="3CBF54A9" w:rsidR="00E36E22" w:rsidRPr="00C80F8E" w:rsidRDefault="00A170DE" w:rsidP="00325F9B">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r>
      <w:tr w:rsidR="00E36E22" w:rsidRPr="00C80F8E" w14:paraId="347E4893" w14:textId="77777777" w:rsidTr="00325F9B">
        <w:trPr>
          <w:trHeight w:val="247"/>
        </w:trPr>
        <w:tc>
          <w:tcPr>
            <w:tcW w:w="4998" w:type="dxa"/>
            <w:noWrap/>
            <w:vAlign w:val="bottom"/>
          </w:tcPr>
          <w:p w14:paraId="6340C03F" w14:textId="2DDA65A4" w:rsidR="00E36E22" w:rsidRPr="00C80F8E" w:rsidRDefault="003A1C72" w:rsidP="00325F9B">
            <w:pPr>
              <w:spacing w:line="240" w:lineRule="auto"/>
              <w:contextualSpacing/>
              <w:jc w:val="both"/>
              <w:rPr>
                <w:rFonts w:ascii="Abadi" w:hAnsi="Abadi" w:cstheme="minorHAnsi"/>
                <w:iCs/>
                <w:color w:val="000000"/>
                <w:sz w:val="20"/>
                <w:szCs w:val="20"/>
                <w:lang w:val="es-ES_tradnl"/>
              </w:rPr>
            </w:pPr>
            <w:proofErr w:type="spellStart"/>
            <w:r w:rsidRPr="00C80F8E">
              <w:rPr>
                <w:rFonts w:ascii="Abadi" w:hAnsi="Abadi" w:cstheme="minorHAnsi"/>
                <w:iCs/>
                <w:color w:val="000000"/>
                <w:sz w:val="20"/>
                <w:szCs w:val="20"/>
                <w:lang w:val="es-ES_tradnl"/>
              </w:rPr>
              <w:t>Gat</w:t>
            </w:r>
            <w:proofErr w:type="spellEnd"/>
            <w:r w:rsidRPr="00C80F8E">
              <w:rPr>
                <w:rFonts w:ascii="Abadi" w:hAnsi="Abadi" w:cstheme="minorHAnsi"/>
                <w:iCs/>
                <w:color w:val="000000"/>
                <w:sz w:val="20"/>
                <w:szCs w:val="20"/>
                <w:lang w:val="es-ES_tradnl"/>
              </w:rPr>
              <w:t xml:space="preserve"> Off</w:t>
            </w:r>
            <w:r w:rsidR="004C527F" w:rsidRPr="00C80F8E">
              <w:rPr>
                <w:rFonts w:ascii="Abadi" w:hAnsi="Abadi" w:cstheme="minorHAnsi"/>
                <w:iCs/>
                <w:color w:val="000000"/>
                <w:sz w:val="20"/>
                <w:szCs w:val="20"/>
                <w:lang w:val="es-ES_tradnl"/>
              </w:rPr>
              <w:t>ice, SRL</w:t>
            </w:r>
          </w:p>
        </w:tc>
        <w:tc>
          <w:tcPr>
            <w:tcW w:w="2310" w:type="dxa"/>
            <w:noWrap/>
            <w:vAlign w:val="bottom"/>
          </w:tcPr>
          <w:p w14:paraId="461C0F12" w14:textId="0D8E80BA" w:rsidR="00E36E22" w:rsidRPr="00C80F8E" w:rsidRDefault="004C527F" w:rsidP="00325F9B">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1,949,993.00</w:t>
            </w:r>
          </w:p>
        </w:tc>
        <w:tc>
          <w:tcPr>
            <w:tcW w:w="1971" w:type="dxa"/>
            <w:noWrap/>
            <w:vAlign w:val="bottom"/>
          </w:tcPr>
          <w:p w14:paraId="3D7B0BBE" w14:textId="277C8F49" w:rsidR="00E36E22" w:rsidRPr="00C80F8E" w:rsidRDefault="00A170DE" w:rsidP="00325F9B">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0.00</w:t>
            </w:r>
          </w:p>
        </w:tc>
      </w:tr>
      <w:tr w:rsidR="00572788" w:rsidRPr="00C80F8E" w14:paraId="6B7A491F" w14:textId="77777777" w:rsidTr="00EC4765">
        <w:trPr>
          <w:trHeight w:val="247"/>
        </w:trPr>
        <w:tc>
          <w:tcPr>
            <w:tcW w:w="4998" w:type="dxa"/>
            <w:noWrap/>
            <w:vAlign w:val="bottom"/>
          </w:tcPr>
          <w:p w14:paraId="0E9FFAB6" w14:textId="46EBC249" w:rsidR="00572788" w:rsidRPr="00C80F8E" w:rsidRDefault="00572788" w:rsidP="00572788">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AGEP Soluciones de ingeniería, SRL</w:t>
            </w:r>
          </w:p>
        </w:tc>
        <w:tc>
          <w:tcPr>
            <w:tcW w:w="2310" w:type="dxa"/>
            <w:noWrap/>
            <w:vAlign w:val="bottom"/>
          </w:tcPr>
          <w:p w14:paraId="2A61C78C" w14:textId="7A7E5E80" w:rsidR="00572788" w:rsidRPr="00C80F8E" w:rsidRDefault="004C527F" w:rsidP="00572788">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0.00</w:t>
            </w:r>
          </w:p>
        </w:tc>
        <w:tc>
          <w:tcPr>
            <w:tcW w:w="1971" w:type="dxa"/>
            <w:noWrap/>
            <w:vAlign w:val="bottom"/>
          </w:tcPr>
          <w:p w14:paraId="04311EE1" w14:textId="6E2C86F7" w:rsidR="00572788" w:rsidRPr="00C80F8E" w:rsidRDefault="00572788" w:rsidP="0057278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108,664.57</w:t>
            </w:r>
          </w:p>
        </w:tc>
      </w:tr>
      <w:tr w:rsidR="00572788" w:rsidRPr="00C80F8E" w14:paraId="15423E96" w14:textId="77777777" w:rsidTr="00EC4765">
        <w:trPr>
          <w:trHeight w:val="247"/>
        </w:trPr>
        <w:tc>
          <w:tcPr>
            <w:tcW w:w="4998" w:type="dxa"/>
            <w:noWrap/>
            <w:vAlign w:val="bottom"/>
          </w:tcPr>
          <w:p w14:paraId="13523AE4" w14:textId="69238FD7" w:rsidR="00572788" w:rsidRPr="00C80F8E" w:rsidRDefault="00572788" w:rsidP="00572788">
            <w:pPr>
              <w:spacing w:line="240" w:lineRule="auto"/>
              <w:contextualSpacing/>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Angel Daniel Mendoza</w:t>
            </w:r>
          </w:p>
        </w:tc>
        <w:tc>
          <w:tcPr>
            <w:tcW w:w="2310" w:type="dxa"/>
            <w:noWrap/>
            <w:vAlign w:val="bottom"/>
          </w:tcPr>
          <w:p w14:paraId="54AA08A8" w14:textId="30C6B107" w:rsidR="00572788" w:rsidRPr="00C80F8E" w:rsidRDefault="004C527F" w:rsidP="00572788">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0.00</w:t>
            </w:r>
          </w:p>
        </w:tc>
        <w:tc>
          <w:tcPr>
            <w:tcW w:w="1971" w:type="dxa"/>
            <w:noWrap/>
            <w:vAlign w:val="bottom"/>
          </w:tcPr>
          <w:p w14:paraId="1A1AE7FB" w14:textId="452D52F2" w:rsidR="00572788" w:rsidRPr="00C80F8E" w:rsidRDefault="00572788" w:rsidP="0057278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59,000.00</w:t>
            </w:r>
          </w:p>
        </w:tc>
      </w:tr>
      <w:tr w:rsidR="00572788" w:rsidRPr="00C80F8E" w14:paraId="5DAB9145" w14:textId="77777777" w:rsidTr="00EC4765">
        <w:trPr>
          <w:trHeight w:val="247"/>
        </w:trPr>
        <w:tc>
          <w:tcPr>
            <w:tcW w:w="4998" w:type="dxa"/>
            <w:noWrap/>
            <w:vAlign w:val="bottom"/>
          </w:tcPr>
          <w:p w14:paraId="4588D210" w14:textId="146B6651" w:rsidR="00572788" w:rsidRPr="00C80F8E" w:rsidRDefault="00572788" w:rsidP="00572788">
            <w:pPr>
              <w:spacing w:line="240" w:lineRule="auto"/>
              <w:contextualSpacing/>
              <w:jc w:val="both"/>
              <w:rPr>
                <w:rFonts w:ascii="Abadi" w:hAnsi="Abadi" w:cstheme="minorHAnsi"/>
                <w:iCs/>
                <w:color w:val="000000"/>
                <w:sz w:val="20"/>
                <w:szCs w:val="20"/>
                <w:lang w:val="es-ES_tradnl"/>
              </w:rPr>
            </w:pPr>
            <w:proofErr w:type="spellStart"/>
            <w:r w:rsidRPr="00C80F8E">
              <w:rPr>
                <w:rFonts w:ascii="Abadi" w:hAnsi="Abadi" w:cstheme="minorHAnsi"/>
                <w:iCs/>
                <w:color w:val="000000"/>
                <w:sz w:val="20"/>
                <w:szCs w:val="20"/>
                <w:lang w:val="es-ES_tradnl"/>
              </w:rPr>
              <w:t>Educology</w:t>
            </w:r>
            <w:proofErr w:type="spellEnd"/>
            <w:r w:rsidRPr="00C80F8E">
              <w:rPr>
                <w:rFonts w:ascii="Abadi" w:hAnsi="Abadi" w:cstheme="minorHAnsi"/>
                <w:iCs/>
                <w:color w:val="000000"/>
                <w:sz w:val="20"/>
                <w:szCs w:val="20"/>
                <w:lang w:val="es-ES_tradnl"/>
              </w:rPr>
              <w:t xml:space="preserve"> </w:t>
            </w:r>
            <w:proofErr w:type="gramStart"/>
            <w:r w:rsidRPr="00C80F8E">
              <w:rPr>
                <w:rFonts w:ascii="Abadi" w:hAnsi="Abadi" w:cstheme="minorHAnsi"/>
                <w:iCs/>
                <w:color w:val="000000"/>
                <w:sz w:val="20"/>
                <w:szCs w:val="20"/>
                <w:lang w:val="es-ES_tradnl"/>
              </w:rPr>
              <w:t>Hub</w:t>
            </w:r>
            <w:proofErr w:type="gramEnd"/>
            <w:r w:rsidRPr="00C80F8E">
              <w:rPr>
                <w:rFonts w:ascii="Abadi" w:hAnsi="Abadi" w:cstheme="minorHAnsi"/>
                <w:iCs/>
                <w:color w:val="000000"/>
                <w:sz w:val="20"/>
                <w:szCs w:val="20"/>
                <w:lang w:val="es-ES_tradnl"/>
              </w:rPr>
              <w:t>, SRL</w:t>
            </w:r>
          </w:p>
        </w:tc>
        <w:tc>
          <w:tcPr>
            <w:tcW w:w="2310" w:type="dxa"/>
            <w:noWrap/>
            <w:vAlign w:val="bottom"/>
          </w:tcPr>
          <w:p w14:paraId="2CEF7DD0" w14:textId="19DC3098" w:rsidR="00572788" w:rsidRPr="00C80F8E" w:rsidRDefault="004C527F" w:rsidP="00572788">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0.00</w:t>
            </w:r>
          </w:p>
        </w:tc>
        <w:tc>
          <w:tcPr>
            <w:tcW w:w="1971" w:type="dxa"/>
            <w:noWrap/>
            <w:vAlign w:val="bottom"/>
          </w:tcPr>
          <w:p w14:paraId="7ABA71C5" w14:textId="78A8B474" w:rsidR="00572788" w:rsidRPr="00C80F8E" w:rsidRDefault="00572788" w:rsidP="0057278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348,760.80</w:t>
            </w:r>
          </w:p>
        </w:tc>
      </w:tr>
      <w:tr w:rsidR="00572788" w:rsidRPr="00C80F8E" w14:paraId="7CDD577B" w14:textId="77777777" w:rsidTr="00EC4765">
        <w:trPr>
          <w:trHeight w:val="247"/>
        </w:trPr>
        <w:tc>
          <w:tcPr>
            <w:tcW w:w="4998" w:type="dxa"/>
            <w:noWrap/>
            <w:vAlign w:val="bottom"/>
          </w:tcPr>
          <w:p w14:paraId="60130349" w14:textId="4FCE621C" w:rsidR="00572788" w:rsidRPr="00DA4461" w:rsidRDefault="00572788" w:rsidP="00572788">
            <w:pPr>
              <w:spacing w:line="240" w:lineRule="auto"/>
              <w:contextualSpacing/>
              <w:jc w:val="both"/>
              <w:rPr>
                <w:rFonts w:ascii="Abadi" w:hAnsi="Abadi" w:cstheme="minorHAnsi"/>
                <w:iCs/>
                <w:color w:val="000000"/>
                <w:sz w:val="20"/>
                <w:szCs w:val="20"/>
              </w:rPr>
            </w:pPr>
            <w:r w:rsidRPr="00DA4461">
              <w:rPr>
                <w:rFonts w:ascii="Abadi" w:hAnsi="Abadi" w:cstheme="minorHAnsi"/>
                <w:iCs/>
                <w:color w:val="000000"/>
                <w:sz w:val="20"/>
                <w:szCs w:val="20"/>
              </w:rPr>
              <w:t xml:space="preserve">Magri </w:t>
            </w:r>
            <w:proofErr w:type="spellStart"/>
            <w:r w:rsidRPr="00DA4461">
              <w:rPr>
                <w:rFonts w:ascii="Abadi" w:hAnsi="Abadi" w:cstheme="minorHAnsi"/>
                <w:iCs/>
                <w:color w:val="000000"/>
                <w:sz w:val="20"/>
                <w:szCs w:val="20"/>
              </w:rPr>
              <w:t>Disigns</w:t>
            </w:r>
            <w:proofErr w:type="spellEnd"/>
            <w:r w:rsidRPr="00DA4461">
              <w:rPr>
                <w:rFonts w:ascii="Abadi" w:hAnsi="Abadi" w:cstheme="minorHAnsi"/>
                <w:iCs/>
                <w:color w:val="000000"/>
                <w:sz w:val="20"/>
                <w:szCs w:val="20"/>
              </w:rPr>
              <w:t xml:space="preserve"> &amp; </w:t>
            </w:r>
            <w:proofErr w:type="spellStart"/>
            <w:r w:rsidRPr="00DA4461">
              <w:rPr>
                <w:rFonts w:ascii="Abadi" w:hAnsi="Abadi" w:cstheme="minorHAnsi"/>
                <w:iCs/>
                <w:color w:val="000000"/>
                <w:sz w:val="20"/>
                <w:szCs w:val="20"/>
              </w:rPr>
              <w:t>Architectual</w:t>
            </w:r>
            <w:proofErr w:type="spellEnd"/>
            <w:r w:rsidRPr="00DA4461">
              <w:rPr>
                <w:rFonts w:ascii="Abadi" w:hAnsi="Abadi" w:cstheme="minorHAnsi"/>
                <w:iCs/>
                <w:color w:val="000000"/>
                <w:sz w:val="20"/>
                <w:szCs w:val="20"/>
              </w:rPr>
              <w:t xml:space="preserve"> Plans, SRL</w:t>
            </w:r>
          </w:p>
        </w:tc>
        <w:tc>
          <w:tcPr>
            <w:tcW w:w="2310" w:type="dxa"/>
            <w:tcBorders>
              <w:bottom w:val="single" w:sz="12" w:space="0" w:color="auto"/>
            </w:tcBorders>
            <w:noWrap/>
            <w:vAlign w:val="bottom"/>
          </w:tcPr>
          <w:p w14:paraId="5471E328" w14:textId="09D155BA" w:rsidR="00572788" w:rsidRPr="00C80F8E" w:rsidRDefault="004C527F" w:rsidP="00572788">
            <w:pPr>
              <w:spacing w:line="240" w:lineRule="auto"/>
              <w:contextualSpacing/>
              <w:jc w:val="right"/>
              <w:rPr>
                <w:rFonts w:ascii="Abadi" w:hAnsi="Abadi" w:cstheme="minorHAnsi"/>
                <w:iCs/>
                <w:sz w:val="20"/>
                <w:szCs w:val="20"/>
                <w:lang w:val="es-ES_tradnl"/>
              </w:rPr>
            </w:pPr>
            <w:r w:rsidRPr="00C80F8E">
              <w:rPr>
                <w:rFonts w:ascii="Abadi" w:hAnsi="Abadi" w:cstheme="minorHAnsi"/>
                <w:iCs/>
                <w:sz w:val="20"/>
                <w:szCs w:val="20"/>
                <w:lang w:val="es-ES_tradnl"/>
              </w:rPr>
              <w:t>0.00</w:t>
            </w:r>
          </w:p>
        </w:tc>
        <w:tc>
          <w:tcPr>
            <w:tcW w:w="1971" w:type="dxa"/>
            <w:tcBorders>
              <w:bottom w:val="single" w:sz="12" w:space="0" w:color="auto"/>
            </w:tcBorders>
            <w:noWrap/>
            <w:vAlign w:val="bottom"/>
          </w:tcPr>
          <w:p w14:paraId="302454FE" w14:textId="4187475C" w:rsidR="00572788" w:rsidRPr="00C80F8E" w:rsidRDefault="00572788" w:rsidP="00572788">
            <w:pPr>
              <w:spacing w:line="240" w:lineRule="auto"/>
              <w:contextualSpacing/>
              <w:jc w:val="right"/>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792,020.00</w:t>
            </w:r>
          </w:p>
        </w:tc>
      </w:tr>
      <w:tr w:rsidR="00572788" w:rsidRPr="00C80F8E" w14:paraId="63A69F52" w14:textId="77777777" w:rsidTr="00EC4765">
        <w:trPr>
          <w:trHeight w:val="247"/>
        </w:trPr>
        <w:tc>
          <w:tcPr>
            <w:tcW w:w="4998" w:type="dxa"/>
            <w:noWrap/>
            <w:vAlign w:val="bottom"/>
            <w:hideMark/>
          </w:tcPr>
          <w:p w14:paraId="775C33F1" w14:textId="77777777" w:rsidR="00572788" w:rsidRPr="00C80F8E" w:rsidRDefault="00572788" w:rsidP="00572788">
            <w:pPr>
              <w:spacing w:line="240" w:lineRule="auto"/>
              <w:contextualSpacing/>
              <w:jc w:val="both"/>
              <w:rPr>
                <w:rFonts w:ascii="Abadi" w:hAnsi="Abadi" w:cstheme="minorHAnsi"/>
                <w:b/>
                <w:bCs/>
                <w:iCs/>
                <w:color w:val="000000"/>
                <w:sz w:val="20"/>
                <w:szCs w:val="20"/>
                <w:lang w:val="es-ES_tradnl"/>
              </w:rPr>
            </w:pPr>
            <w:proofErr w:type="gramStart"/>
            <w:r w:rsidRPr="00C80F8E">
              <w:rPr>
                <w:rFonts w:ascii="Abadi" w:hAnsi="Abadi" w:cstheme="minorHAnsi"/>
                <w:b/>
                <w:bCs/>
                <w:iCs/>
                <w:color w:val="000000"/>
                <w:sz w:val="20"/>
                <w:szCs w:val="20"/>
                <w:lang w:val="es-ES_tradnl"/>
              </w:rPr>
              <w:t>Total</w:t>
            </w:r>
            <w:proofErr w:type="gramEnd"/>
            <w:r w:rsidRPr="00C80F8E">
              <w:rPr>
                <w:rFonts w:ascii="Abadi" w:hAnsi="Abadi" w:cstheme="minorHAnsi"/>
                <w:b/>
                <w:bCs/>
                <w:iCs/>
                <w:color w:val="000000"/>
                <w:sz w:val="20"/>
                <w:szCs w:val="20"/>
                <w:lang w:val="es-ES_tradnl"/>
              </w:rPr>
              <w:t xml:space="preserve"> Anticipo a Proveedores</w:t>
            </w:r>
          </w:p>
        </w:tc>
        <w:tc>
          <w:tcPr>
            <w:tcW w:w="2310" w:type="dxa"/>
            <w:tcBorders>
              <w:top w:val="single" w:sz="12" w:space="0" w:color="auto"/>
              <w:bottom w:val="double" w:sz="4" w:space="0" w:color="auto"/>
            </w:tcBorders>
            <w:noWrap/>
            <w:vAlign w:val="bottom"/>
            <w:hideMark/>
          </w:tcPr>
          <w:p w14:paraId="2741A761" w14:textId="54253A72" w:rsidR="00572788" w:rsidRPr="00C80F8E" w:rsidRDefault="00B330D8" w:rsidP="00572788">
            <w:pPr>
              <w:spacing w:line="240" w:lineRule="auto"/>
              <w:contextualSpacing/>
              <w:jc w:val="right"/>
              <w:rPr>
                <w:rFonts w:ascii="Abadi" w:hAnsi="Abadi" w:cstheme="minorHAnsi"/>
                <w:b/>
                <w:bCs/>
                <w:iCs/>
                <w:color w:val="000000"/>
                <w:sz w:val="20"/>
                <w:szCs w:val="20"/>
                <w:lang w:val="es-ES_tradnl"/>
              </w:rPr>
            </w:pPr>
            <w:r w:rsidRPr="00C80F8E">
              <w:rPr>
                <w:rFonts w:ascii="Abadi" w:hAnsi="Abadi" w:cstheme="minorHAnsi"/>
                <w:b/>
                <w:bCs/>
                <w:iCs/>
                <w:color w:val="000000"/>
                <w:sz w:val="20"/>
                <w:szCs w:val="20"/>
                <w:lang w:val="es-ES_tradnl"/>
              </w:rPr>
              <w:t>8,683,141.25</w:t>
            </w:r>
          </w:p>
        </w:tc>
        <w:tc>
          <w:tcPr>
            <w:tcW w:w="1971" w:type="dxa"/>
            <w:tcBorders>
              <w:top w:val="single" w:sz="12" w:space="0" w:color="auto"/>
              <w:bottom w:val="double" w:sz="4" w:space="0" w:color="auto"/>
            </w:tcBorders>
            <w:noWrap/>
            <w:vAlign w:val="bottom"/>
          </w:tcPr>
          <w:p w14:paraId="1CBEED69" w14:textId="1203890B" w:rsidR="00572788" w:rsidRPr="00C80F8E" w:rsidRDefault="00572788" w:rsidP="00572788">
            <w:pPr>
              <w:spacing w:line="240" w:lineRule="auto"/>
              <w:contextualSpacing/>
              <w:jc w:val="right"/>
              <w:rPr>
                <w:rFonts w:ascii="Abadi" w:hAnsi="Abadi" w:cstheme="minorHAnsi"/>
                <w:b/>
                <w:bCs/>
                <w:iCs/>
                <w:color w:val="000000"/>
                <w:sz w:val="20"/>
                <w:szCs w:val="20"/>
                <w:lang w:val="es-ES_tradnl"/>
              </w:rPr>
            </w:pPr>
            <w:r w:rsidRPr="00C80F8E">
              <w:rPr>
                <w:rFonts w:ascii="Abadi" w:hAnsi="Abadi" w:cstheme="minorHAnsi"/>
                <w:b/>
                <w:bCs/>
                <w:iCs/>
                <w:color w:val="000000"/>
                <w:sz w:val="20"/>
                <w:szCs w:val="20"/>
                <w:lang w:val="es-ES_tradnl"/>
              </w:rPr>
              <w:t>1,308,445.37</w:t>
            </w:r>
          </w:p>
        </w:tc>
      </w:tr>
    </w:tbl>
    <w:p w14:paraId="07023728" w14:textId="77777777" w:rsidR="00BF3C2A" w:rsidRPr="00C80F8E" w:rsidRDefault="00BF3C2A" w:rsidP="00A97FF1">
      <w:pPr>
        <w:spacing w:line="240" w:lineRule="auto"/>
        <w:contextualSpacing/>
        <w:rPr>
          <w:rFonts w:ascii="Abadi" w:hAnsi="Abadi" w:cstheme="minorHAnsi"/>
          <w:b/>
          <w:sz w:val="20"/>
          <w:szCs w:val="20"/>
          <w:lang w:val="es-ES_tradnl"/>
        </w:rPr>
      </w:pPr>
    </w:p>
    <w:p w14:paraId="5D1A2C39" w14:textId="5741DE9F" w:rsidR="00DE14F7" w:rsidRPr="00C80F8E" w:rsidRDefault="002464C8" w:rsidP="00A7606E">
      <w:pPr>
        <w:pStyle w:val="Prrafodelista"/>
        <w:numPr>
          <w:ilvl w:val="0"/>
          <w:numId w:val="1"/>
        </w:numPr>
        <w:spacing w:line="240" w:lineRule="auto"/>
        <w:ind w:left="425" w:hanging="357"/>
        <w:rPr>
          <w:rFonts w:ascii="Abadi" w:hAnsi="Abadi" w:cstheme="minorHAnsi"/>
          <w:b/>
          <w:sz w:val="20"/>
          <w:szCs w:val="20"/>
          <w:lang w:val="es-ES_tradnl"/>
        </w:rPr>
      </w:pPr>
      <w:r w:rsidRPr="00C80F8E">
        <w:rPr>
          <w:rFonts w:ascii="Abadi" w:hAnsi="Abadi" w:cstheme="minorHAnsi"/>
          <w:b/>
          <w:sz w:val="20"/>
          <w:szCs w:val="20"/>
          <w:lang w:val="es-ES_tradnl"/>
        </w:rPr>
        <w:t>Inventarios</w:t>
      </w:r>
    </w:p>
    <w:p w14:paraId="501F7D18" w14:textId="5BD10541" w:rsidR="002464C8" w:rsidRPr="00C80F8E" w:rsidRDefault="0033509F" w:rsidP="00A97FF1">
      <w:pPr>
        <w:spacing w:line="240" w:lineRule="auto"/>
        <w:ind w:left="68"/>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saldo total de los inventarios ascendió a RD$2,105,624.45, en comparación con RD$1,485,802.83 registrados al 30 de junio de 2024. Esta diferencia representa un incremento absoluto de RD$619,821.62 y una variación relativa positiva de 41.72%, lo que refleja una mayor disponibilidad de materiales de consumo y diversos en almacén al cierre del período semestral.</w:t>
      </w:r>
      <w:r w:rsidR="00E45025" w:rsidRPr="00C80F8E">
        <w:rPr>
          <w:rFonts w:ascii="Abadi" w:hAnsi="Abadi" w:cstheme="minorHAnsi"/>
          <w:bCs/>
          <w:sz w:val="20"/>
          <w:szCs w:val="20"/>
          <w:lang w:val="es-ES_tradnl"/>
        </w:rPr>
        <w:t>es como sigue:</w:t>
      </w:r>
    </w:p>
    <w:p w14:paraId="6664409E" w14:textId="77777777" w:rsidR="0033509F" w:rsidRPr="00C80F8E" w:rsidRDefault="0033509F" w:rsidP="00A97FF1">
      <w:pPr>
        <w:spacing w:line="240" w:lineRule="auto"/>
        <w:ind w:left="68"/>
        <w:contextualSpacing/>
        <w:jc w:val="both"/>
        <w:rPr>
          <w:rFonts w:ascii="Abadi" w:hAnsi="Abadi" w:cstheme="minorHAnsi"/>
          <w:bCs/>
          <w:sz w:val="20"/>
          <w:szCs w:val="20"/>
          <w:lang w:val="es-ES_tradnl"/>
        </w:rPr>
      </w:pPr>
    </w:p>
    <w:tbl>
      <w:tblPr>
        <w:tblStyle w:val="Tablaconcuadrcula"/>
        <w:tblW w:w="9387" w:type="dxa"/>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85"/>
        <w:gridCol w:w="2264"/>
        <w:gridCol w:w="2238"/>
      </w:tblGrid>
      <w:tr w:rsidR="00E45025" w:rsidRPr="00C80F8E" w14:paraId="7EAAFC94" w14:textId="77777777" w:rsidTr="00B743E2">
        <w:trPr>
          <w:trHeight w:val="356"/>
        </w:trPr>
        <w:tc>
          <w:tcPr>
            <w:tcW w:w="4885" w:type="dxa"/>
            <w:shd w:val="clear" w:color="auto" w:fill="0070C0"/>
          </w:tcPr>
          <w:p w14:paraId="630EDB42" w14:textId="77777777" w:rsidR="00E45025" w:rsidRPr="00C80F8E" w:rsidRDefault="00E45025" w:rsidP="00F770F7">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4" w:type="dxa"/>
            <w:shd w:val="clear" w:color="auto" w:fill="0070C0"/>
          </w:tcPr>
          <w:p w14:paraId="4BFE4F23" w14:textId="515EED6E" w:rsidR="00E45025" w:rsidRPr="00C80F8E" w:rsidRDefault="00744016" w:rsidP="00F770F7">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w:t>
            </w:r>
            <w:r w:rsidR="00EA10FC" w:rsidRPr="00C80F8E">
              <w:rPr>
                <w:rFonts w:ascii="Abadi" w:hAnsi="Abadi" w:cstheme="minorHAnsi"/>
                <w:b/>
                <w:bCs/>
                <w:color w:val="FFFFFF" w:themeColor="background1"/>
                <w:sz w:val="20"/>
                <w:szCs w:val="20"/>
                <w:lang w:val="es-ES_tradnl"/>
              </w:rPr>
              <w:t>202</w:t>
            </w:r>
            <w:r w:rsidR="001B341C" w:rsidRPr="00C80F8E">
              <w:rPr>
                <w:rFonts w:ascii="Abadi" w:hAnsi="Abadi" w:cstheme="minorHAnsi"/>
                <w:b/>
                <w:bCs/>
                <w:color w:val="FFFFFF" w:themeColor="background1"/>
                <w:sz w:val="20"/>
                <w:szCs w:val="20"/>
                <w:lang w:val="es-ES_tradnl"/>
              </w:rPr>
              <w:t>5</w:t>
            </w:r>
          </w:p>
        </w:tc>
        <w:tc>
          <w:tcPr>
            <w:tcW w:w="2238" w:type="dxa"/>
            <w:shd w:val="clear" w:color="auto" w:fill="0070C0"/>
          </w:tcPr>
          <w:p w14:paraId="762EDB96" w14:textId="1C28F22E" w:rsidR="00E45025" w:rsidRPr="00C80F8E" w:rsidRDefault="00744016" w:rsidP="00F770F7">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w:t>
            </w:r>
            <w:r w:rsidR="004567A7" w:rsidRPr="00C80F8E">
              <w:rPr>
                <w:rFonts w:ascii="Abadi" w:hAnsi="Abadi" w:cstheme="minorHAnsi"/>
                <w:b/>
                <w:bCs/>
                <w:color w:val="FFFFFF" w:themeColor="background1"/>
                <w:sz w:val="20"/>
                <w:szCs w:val="20"/>
                <w:lang w:val="es-ES_tradnl"/>
              </w:rPr>
              <w:t>202</w:t>
            </w:r>
            <w:r w:rsidR="001B341C" w:rsidRPr="00C80F8E">
              <w:rPr>
                <w:rFonts w:ascii="Abadi" w:hAnsi="Abadi" w:cstheme="minorHAnsi"/>
                <w:b/>
                <w:bCs/>
                <w:color w:val="FFFFFF" w:themeColor="background1"/>
                <w:sz w:val="20"/>
                <w:szCs w:val="20"/>
                <w:lang w:val="es-ES_tradnl"/>
              </w:rPr>
              <w:t>4</w:t>
            </w:r>
          </w:p>
        </w:tc>
      </w:tr>
      <w:tr w:rsidR="00E45025" w:rsidRPr="00C80F8E" w14:paraId="007112CE" w14:textId="77777777" w:rsidTr="0040131D">
        <w:trPr>
          <w:trHeight w:val="356"/>
        </w:trPr>
        <w:tc>
          <w:tcPr>
            <w:tcW w:w="4885" w:type="dxa"/>
            <w:vAlign w:val="bottom"/>
          </w:tcPr>
          <w:p w14:paraId="00A8B9F9" w14:textId="1586D8D6" w:rsidR="00E45025" w:rsidRPr="00C80F8E" w:rsidRDefault="00492207" w:rsidP="00F770F7">
            <w:pPr>
              <w:contextualSpacing/>
              <w:jc w:val="both"/>
              <w:rPr>
                <w:rFonts w:ascii="Abadi" w:hAnsi="Abadi" w:cstheme="minorHAnsi"/>
                <w:sz w:val="20"/>
                <w:szCs w:val="20"/>
                <w:lang w:val="es-ES_tradnl"/>
              </w:rPr>
            </w:pPr>
            <w:r w:rsidRPr="00C80F8E">
              <w:rPr>
                <w:rFonts w:ascii="Abadi" w:hAnsi="Abadi" w:cstheme="minorHAnsi"/>
                <w:bCs/>
                <w:sz w:val="20"/>
                <w:szCs w:val="20"/>
                <w:lang w:val="es-ES_tradnl"/>
              </w:rPr>
              <w:t>Inventario de Materiales de Consumo</w:t>
            </w:r>
            <w:r w:rsidR="001C524D" w:rsidRPr="00C80F8E">
              <w:rPr>
                <w:rFonts w:ascii="Abadi" w:hAnsi="Abadi" w:cstheme="minorHAnsi"/>
                <w:bCs/>
                <w:sz w:val="20"/>
                <w:szCs w:val="20"/>
                <w:lang w:val="es-ES_tradnl"/>
              </w:rPr>
              <w:t xml:space="preserve"> (Mat. Oficina)</w:t>
            </w:r>
          </w:p>
        </w:tc>
        <w:tc>
          <w:tcPr>
            <w:tcW w:w="2264" w:type="dxa"/>
            <w:vAlign w:val="bottom"/>
          </w:tcPr>
          <w:p w14:paraId="63F330D7" w14:textId="5AAB5D3A" w:rsidR="00E45025" w:rsidRPr="00C80F8E" w:rsidRDefault="00DB3957" w:rsidP="00F770F7">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998,993.79</w:t>
            </w:r>
          </w:p>
        </w:tc>
        <w:tc>
          <w:tcPr>
            <w:tcW w:w="2238" w:type="dxa"/>
            <w:vAlign w:val="bottom"/>
          </w:tcPr>
          <w:p w14:paraId="03A58878" w14:textId="69FECF63" w:rsidR="00E45025" w:rsidRPr="00C80F8E" w:rsidRDefault="0029668E" w:rsidP="00F770F7">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1,066,604.61</w:t>
            </w:r>
          </w:p>
        </w:tc>
      </w:tr>
      <w:tr w:rsidR="00492207" w:rsidRPr="00C80F8E" w14:paraId="5A51C848" w14:textId="77777777" w:rsidTr="0040131D">
        <w:trPr>
          <w:trHeight w:val="356"/>
        </w:trPr>
        <w:tc>
          <w:tcPr>
            <w:tcW w:w="4885" w:type="dxa"/>
            <w:vAlign w:val="bottom"/>
          </w:tcPr>
          <w:p w14:paraId="50932EBF" w14:textId="0D2F83A3" w:rsidR="00492207" w:rsidRPr="00C80F8E" w:rsidRDefault="00A063CD" w:rsidP="00F770F7">
            <w:pPr>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Inventario de Materiales Diversos</w:t>
            </w:r>
          </w:p>
        </w:tc>
        <w:tc>
          <w:tcPr>
            <w:tcW w:w="2264" w:type="dxa"/>
            <w:tcBorders>
              <w:bottom w:val="single" w:sz="12" w:space="0" w:color="auto"/>
            </w:tcBorders>
            <w:vAlign w:val="bottom"/>
          </w:tcPr>
          <w:p w14:paraId="397545EE" w14:textId="3DFB39F9" w:rsidR="00492207" w:rsidRPr="00C80F8E" w:rsidRDefault="006501CD" w:rsidP="00B9266E">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1,106,630.6</w:t>
            </w:r>
            <w:r w:rsidR="00C94052" w:rsidRPr="00C80F8E">
              <w:rPr>
                <w:rFonts w:ascii="Abadi" w:hAnsi="Abadi" w:cstheme="minorHAnsi"/>
                <w:sz w:val="20"/>
                <w:szCs w:val="20"/>
                <w:lang w:val="es-ES_tradnl"/>
              </w:rPr>
              <w:t>6</w:t>
            </w:r>
          </w:p>
        </w:tc>
        <w:tc>
          <w:tcPr>
            <w:tcW w:w="2238" w:type="dxa"/>
            <w:tcBorders>
              <w:bottom w:val="single" w:sz="12" w:space="0" w:color="auto"/>
            </w:tcBorders>
            <w:vAlign w:val="bottom"/>
          </w:tcPr>
          <w:p w14:paraId="63088E8E" w14:textId="370E4F8F" w:rsidR="00492207" w:rsidRPr="00C80F8E" w:rsidRDefault="00DF2C2A" w:rsidP="00F770F7">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419,198.22</w:t>
            </w:r>
          </w:p>
        </w:tc>
      </w:tr>
      <w:tr w:rsidR="00992410" w:rsidRPr="00C80F8E" w14:paraId="51662B0B" w14:textId="77777777" w:rsidTr="00EC4765">
        <w:trPr>
          <w:trHeight w:val="356"/>
        </w:trPr>
        <w:tc>
          <w:tcPr>
            <w:tcW w:w="4885" w:type="dxa"/>
            <w:shd w:val="clear" w:color="auto" w:fill="FFFFFF" w:themeFill="background1"/>
            <w:vAlign w:val="bottom"/>
          </w:tcPr>
          <w:p w14:paraId="3128CC80" w14:textId="77777777" w:rsidR="00992410" w:rsidRPr="00C80F8E" w:rsidRDefault="00992410" w:rsidP="00F770F7">
            <w:pPr>
              <w:contextualSpacing/>
              <w:jc w:val="both"/>
              <w:rPr>
                <w:rFonts w:ascii="Abadi" w:hAnsi="Abadi" w:cstheme="minorHAnsi"/>
                <w:sz w:val="20"/>
                <w:szCs w:val="20"/>
                <w:lang w:val="es-ES_tradnl"/>
              </w:rPr>
            </w:pPr>
            <w:proofErr w:type="gramStart"/>
            <w:r w:rsidRPr="00C80F8E">
              <w:rPr>
                <w:rFonts w:ascii="Abadi" w:hAnsi="Abadi" w:cstheme="minorHAnsi"/>
                <w:sz w:val="20"/>
                <w:szCs w:val="20"/>
                <w:lang w:val="es-ES_tradnl"/>
              </w:rPr>
              <w:t>Total</w:t>
            </w:r>
            <w:proofErr w:type="gramEnd"/>
            <w:r w:rsidRPr="00C80F8E">
              <w:rPr>
                <w:rFonts w:ascii="Abadi" w:hAnsi="Abadi" w:cstheme="minorHAnsi"/>
                <w:sz w:val="20"/>
                <w:szCs w:val="20"/>
                <w:lang w:val="es-ES_tradnl"/>
              </w:rPr>
              <w:t xml:space="preserve"> de Inventarios</w:t>
            </w:r>
          </w:p>
        </w:tc>
        <w:tc>
          <w:tcPr>
            <w:tcW w:w="2264" w:type="dxa"/>
            <w:tcBorders>
              <w:top w:val="single" w:sz="12" w:space="0" w:color="auto"/>
              <w:bottom w:val="double" w:sz="4" w:space="0" w:color="auto"/>
            </w:tcBorders>
            <w:shd w:val="clear" w:color="auto" w:fill="FFFFFF" w:themeFill="background1"/>
            <w:vAlign w:val="bottom"/>
          </w:tcPr>
          <w:p w14:paraId="053A06F9" w14:textId="682024EF" w:rsidR="00992410" w:rsidRPr="00C80F8E" w:rsidRDefault="003B5EB9" w:rsidP="00F770F7">
            <w:pPr>
              <w:contextualSpacing/>
              <w:jc w:val="right"/>
              <w:rPr>
                <w:rFonts w:ascii="Abadi" w:hAnsi="Abadi" w:cstheme="minorHAnsi"/>
                <w:b/>
                <w:sz w:val="20"/>
                <w:szCs w:val="20"/>
                <w:u w:val="double"/>
                <w:lang w:val="es-ES_tradnl"/>
              </w:rPr>
            </w:pPr>
            <w:r w:rsidRPr="00C80F8E">
              <w:rPr>
                <w:rFonts w:ascii="Abadi" w:hAnsi="Abadi" w:cstheme="minorHAnsi"/>
                <w:b/>
                <w:sz w:val="20"/>
                <w:szCs w:val="20"/>
                <w:u w:val="double"/>
                <w:lang w:val="es-ES_tradnl"/>
              </w:rPr>
              <w:t>2,105,624.45</w:t>
            </w:r>
          </w:p>
        </w:tc>
        <w:tc>
          <w:tcPr>
            <w:tcW w:w="2238" w:type="dxa"/>
            <w:tcBorders>
              <w:top w:val="single" w:sz="12" w:space="0" w:color="auto"/>
              <w:bottom w:val="double" w:sz="4" w:space="0" w:color="auto"/>
            </w:tcBorders>
            <w:shd w:val="clear" w:color="auto" w:fill="FFFFFF" w:themeFill="background1"/>
            <w:vAlign w:val="bottom"/>
          </w:tcPr>
          <w:p w14:paraId="1E2A21FA" w14:textId="21A69C1F" w:rsidR="00992410" w:rsidRPr="00C80F8E" w:rsidRDefault="0029668E" w:rsidP="00F770F7">
            <w:pPr>
              <w:contextualSpacing/>
              <w:jc w:val="right"/>
              <w:rPr>
                <w:rFonts w:ascii="Abadi" w:hAnsi="Abadi" w:cstheme="minorHAnsi"/>
                <w:b/>
                <w:sz w:val="20"/>
                <w:szCs w:val="20"/>
                <w:lang w:val="es-ES_tradnl"/>
              </w:rPr>
            </w:pPr>
            <w:r w:rsidRPr="00C80F8E">
              <w:rPr>
                <w:rFonts w:ascii="Abadi" w:hAnsi="Abadi" w:cstheme="minorHAnsi"/>
                <w:b/>
                <w:sz w:val="20"/>
                <w:szCs w:val="20"/>
                <w:lang w:val="es-ES_tradnl"/>
              </w:rPr>
              <w:t>1,485,802.83</w:t>
            </w:r>
          </w:p>
        </w:tc>
      </w:tr>
    </w:tbl>
    <w:p w14:paraId="05B2B0A8" w14:textId="77777777" w:rsidR="00F51CE0" w:rsidRPr="00C80F8E" w:rsidRDefault="00F51CE0" w:rsidP="00F43D5B">
      <w:pPr>
        <w:rPr>
          <w:rFonts w:ascii="Abadi" w:hAnsi="Abadi" w:cstheme="minorHAnsi"/>
          <w:b/>
          <w:sz w:val="20"/>
          <w:szCs w:val="20"/>
          <w:lang w:val="es-ES_tradnl"/>
        </w:rPr>
      </w:pPr>
    </w:p>
    <w:tbl>
      <w:tblPr>
        <w:tblStyle w:val="Tablaconcuadrcula"/>
        <w:tblW w:w="9390" w:type="dxa"/>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45"/>
        <w:gridCol w:w="2220"/>
        <w:gridCol w:w="2125"/>
      </w:tblGrid>
      <w:tr w:rsidR="007E0CF7" w:rsidRPr="00C80F8E" w14:paraId="45B675DB" w14:textId="77777777" w:rsidTr="007E0CF7">
        <w:trPr>
          <w:trHeight w:val="326"/>
        </w:trPr>
        <w:tc>
          <w:tcPr>
            <w:tcW w:w="5045" w:type="dxa"/>
            <w:shd w:val="clear" w:color="auto" w:fill="0070C0"/>
            <w:vAlign w:val="bottom"/>
          </w:tcPr>
          <w:p w14:paraId="437B7CD3" w14:textId="527321F6" w:rsidR="007E0CF7" w:rsidRPr="00C80F8E" w:rsidRDefault="007E0CF7" w:rsidP="0094557C">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lastRenderedPageBreak/>
              <w:t>Descripción</w:t>
            </w:r>
          </w:p>
        </w:tc>
        <w:tc>
          <w:tcPr>
            <w:tcW w:w="2220" w:type="dxa"/>
            <w:shd w:val="clear" w:color="auto" w:fill="0070C0"/>
            <w:vAlign w:val="bottom"/>
          </w:tcPr>
          <w:p w14:paraId="7370756E" w14:textId="360DD40F" w:rsidR="007E0CF7" w:rsidRPr="00C80F8E" w:rsidRDefault="009C33BC" w:rsidP="004574C8">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vAlign w:val="bottom"/>
          </w:tcPr>
          <w:p w14:paraId="3C55E171" w14:textId="6A3CE5B9" w:rsidR="007E0CF7" w:rsidRPr="00C80F8E" w:rsidRDefault="007E0CF7" w:rsidP="004574C8">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7E0CF7" w:rsidRPr="00C80F8E" w14:paraId="7E425105" w14:textId="77777777" w:rsidTr="007E0CF7">
        <w:trPr>
          <w:trHeight w:val="326"/>
        </w:trPr>
        <w:tc>
          <w:tcPr>
            <w:tcW w:w="5045" w:type="dxa"/>
            <w:vAlign w:val="bottom"/>
          </w:tcPr>
          <w:p w14:paraId="03D4292E" w14:textId="174EE008" w:rsidR="007E0CF7" w:rsidRPr="00C80F8E" w:rsidRDefault="007E0CF7" w:rsidP="0094557C">
            <w:pPr>
              <w:contextualSpacing/>
              <w:jc w:val="both"/>
              <w:rPr>
                <w:rFonts w:ascii="Abadi" w:hAnsi="Abadi" w:cstheme="minorHAnsi"/>
                <w:sz w:val="20"/>
                <w:szCs w:val="20"/>
                <w:lang w:val="es-ES_tradnl"/>
              </w:rPr>
            </w:pPr>
            <w:r w:rsidRPr="00C80F8E">
              <w:rPr>
                <w:rFonts w:ascii="Abadi" w:hAnsi="Abadi" w:cstheme="minorHAnsi"/>
                <w:sz w:val="20"/>
                <w:szCs w:val="20"/>
                <w:lang w:val="es-ES_tradnl"/>
              </w:rPr>
              <w:t>Alimentos y productos agroforestales</w:t>
            </w:r>
          </w:p>
        </w:tc>
        <w:tc>
          <w:tcPr>
            <w:tcW w:w="2220" w:type="dxa"/>
            <w:vAlign w:val="bottom"/>
          </w:tcPr>
          <w:p w14:paraId="7D3C7C49" w14:textId="07B01BAF" w:rsidR="007E0CF7" w:rsidRPr="00C80F8E" w:rsidRDefault="0016558C"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244</w:t>
            </w:r>
            <w:r w:rsidR="001D07B4" w:rsidRPr="00C80F8E">
              <w:rPr>
                <w:rFonts w:ascii="Abadi" w:hAnsi="Abadi" w:cstheme="minorHAnsi"/>
                <w:sz w:val="20"/>
                <w:szCs w:val="20"/>
                <w:lang w:val="es-ES_tradnl"/>
              </w:rPr>
              <w:t>,</w:t>
            </w:r>
            <w:r w:rsidRPr="00C80F8E">
              <w:rPr>
                <w:rFonts w:ascii="Abadi" w:hAnsi="Abadi" w:cstheme="minorHAnsi"/>
                <w:sz w:val="20"/>
                <w:szCs w:val="20"/>
                <w:lang w:val="es-ES_tradnl"/>
              </w:rPr>
              <w:t>920.60</w:t>
            </w:r>
          </w:p>
        </w:tc>
        <w:tc>
          <w:tcPr>
            <w:tcW w:w="2125" w:type="dxa"/>
            <w:vAlign w:val="bottom"/>
          </w:tcPr>
          <w:p w14:paraId="1478EDAA" w14:textId="3E4F6F10" w:rsidR="007E0CF7" w:rsidRPr="00C80F8E" w:rsidRDefault="007E0CF7"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172,824.61</w:t>
            </w:r>
          </w:p>
        </w:tc>
      </w:tr>
      <w:tr w:rsidR="007E0CF7" w:rsidRPr="00C80F8E" w14:paraId="7B37C299" w14:textId="77777777" w:rsidTr="007E0CF7">
        <w:trPr>
          <w:trHeight w:val="326"/>
        </w:trPr>
        <w:tc>
          <w:tcPr>
            <w:tcW w:w="5045" w:type="dxa"/>
            <w:vAlign w:val="bottom"/>
          </w:tcPr>
          <w:p w14:paraId="512B2AD8" w14:textId="0847257B" w:rsidR="007E0CF7" w:rsidRPr="00C80F8E" w:rsidRDefault="005A2B50" w:rsidP="0094557C">
            <w:pPr>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Textiles y vestuarios</w:t>
            </w:r>
          </w:p>
        </w:tc>
        <w:tc>
          <w:tcPr>
            <w:tcW w:w="2220" w:type="dxa"/>
            <w:tcBorders>
              <w:bottom w:val="single" w:sz="4" w:space="0" w:color="auto"/>
            </w:tcBorders>
            <w:vAlign w:val="bottom"/>
          </w:tcPr>
          <w:p w14:paraId="00178E65" w14:textId="00F49EE0" w:rsidR="007E0CF7" w:rsidRPr="00C80F8E" w:rsidRDefault="0016558C"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12</w:t>
            </w:r>
            <w:r w:rsidR="001D07B4" w:rsidRPr="00C80F8E">
              <w:rPr>
                <w:rFonts w:ascii="Abadi" w:hAnsi="Abadi" w:cstheme="minorHAnsi"/>
                <w:sz w:val="20"/>
                <w:szCs w:val="20"/>
                <w:lang w:val="es-ES_tradnl"/>
              </w:rPr>
              <w:t>,</w:t>
            </w:r>
            <w:r w:rsidRPr="00C80F8E">
              <w:rPr>
                <w:rFonts w:ascii="Abadi" w:hAnsi="Abadi" w:cstheme="minorHAnsi"/>
                <w:sz w:val="20"/>
                <w:szCs w:val="20"/>
                <w:lang w:val="es-ES_tradnl"/>
              </w:rPr>
              <w:t>311.39</w:t>
            </w:r>
          </w:p>
        </w:tc>
        <w:tc>
          <w:tcPr>
            <w:tcW w:w="2125" w:type="dxa"/>
            <w:tcBorders>
              <w:bottom w:val="single" w:sz="4" w:space="0" w:color="auto"/>
            </w:tcBorders>
            <w:vAlign w:val="bottom"/>
          </w:tcPr>
          <w:p w14:paraId="22BE57B7" w14:textId="08649FB1" w:rsidR="007E0CF7" w:rsidRPr="00C80F8E" w:rsidRDefault="007E0CF7"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8,687.35</w:t>
            </w:r>
          </w:p>
        </w:tc>
      </w:tr>
      <w:tr w:rsidR="007E0CF7" w:rsidRPr="00C80F8E" w14:paraId="4A1F9D01" w14:textId="77777777" w:rsidTr="007E0CF7">
        <w:trPr>
          <w:trHeight w:val="326"/>
        </w:trPr>
        <w:tc>
          <w:tcPr>
            <w:tcW w:w="5045" w:type="dxa"/>
            <w:vAlign w:val="bottom"/>
          </w:tcPr>
          <w:p w14:paraId="47E5B734" w14:textId="39CD9229" w:rsidR="007E0CF7" w:rsidRPr="00C80F8E" w:rsidRDefault="005A2B50" w:rsidP="0094557C">
            <w:pPr>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Productos de papel, cartón e impresos</w:t>
            </w:r>
          </w:p>
        </w:tc>
        <w:tc>
          <w:tcPr>
            <w:tcW w:w="2220" w:type="dxa"/>
            <w:tcBorders>
              <w:top w:val="single" w:sz="4" w:space="0" w:color="auto"/>
              <w:bottom w:val="single" w:sz="4" w:space="0" w:color="auto"/>
            </w:tcBorders>
            <w:vAlign w:val="bottom"/>
          </w:tcPr>
          <w:p w14:paraId="52B2153D" w14:textId="3C7F7692" w:rsidR="007E0CF7" w:rsidRPr="00C80F8E" w:rsidRDefault="00E464EE"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488</w:t>
            </w:r>
            <w:r w:rsidR="001D07B4" w:rsidRPr="00C80F8E">
              <w:rPr>
                <w:rFonts w:ascii="Abadi" w:hAnsi="Abadi" w:cstheme="minorHAnsi"/>
                <w:sz w:val="20"/>
                <w:szCs w:val="20"/>
                <w:lang w:val="es-ES_tradnl"/>
              </w:rPr>
              <w:t>,829.62</w:t>
            </w:r>
          </w:p>
        </w:tc>
        <w:tc>
          <w:tcPr>
            <w:tcW w:w="2125" w:type="dxa"/>
            <w:tcBorders>
              <w:top w:val="single" w:sz="4" w:space="0" w:color="auto"/>
              <w:bottom w:val="single" w:sz="4" w:space="0" w:color="auto"/>
            </w:tcBorders>
            <w:vAlign w:val="bottom"/>
          </w:tcPr>
          <w:p w14:paraId="14E5ACB7" w14:textId="174F0BD7" w:rsidR="007E0CF7" w:rsidRPr="00C80F8E" w:rsidRDefault="007E0CF7"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344,935.40</w:t>
            </w:r>
          </w:p>
        </w:tc>
      </w:tr>
      <w:tr w:rsidR="007E0CF7" w:rsidRPr="00C80F8E" w14:paraId="61FF9C53" w14:textId="77777777" w:rsidTr="007E0CF7">
        <w:trPr>
          <w:trHeight w:val="326"/>
        </w:trPr>
        <w:tc>
          <w:tcPr>
            <w:tcW w:w="5045" w:type="dxa"/>
            <w:vAlign w:val="bottom"/>
          </w:tcPr>
          <w:p w14:paraId="1A254B42" w14:textId="00AA4B14" w:rsidR="007E0CF7" w:rsidRPr="00C80F8E" w:rsidRDefault="00935476" w:rsidP="0094557C">
            <w:pPr>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Materiales y útiles médicos</w:t>
            </w:r>
          </w:p>
        </w:tc>
        <w:tc>
          <w:tcPr>
            <w:tcW w:w="2220" w:type="dxa"/>
            <w:tcBorders>
              <w:top w:val="single" w:sz="4" w:space="0" w:color="auto"/>
              <w:bottom w:val="single" w:sz="4" w:space="0" w:color="auto"/>
            </w:tcBorders>
            <w:vAlign w:val="bottom"/>
          </w:tcPr>
          <w:p w14:paraId="23C4F45A" w14:textId="0A22BF20" w:rsidR="007E0CF7" w:rsidRPr="00C80F8E" w:rsidRDefault="00B4060F"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17</w:t>
            </w:r>
            <w:r w:rsidR="001D07B4" w:rsidRPr="00C80F8E">
              <w:rPr>
                <w:rFonts w:ascii="Abadi" w:hAnsi="Abadi" w:cstheme="minorHAnsi"/>
                <w:sz w:val="20"/>
                <w:szCs w:val="20"/>
                <w:lang w:val="es-ES_tradnl"/>
              </w:rPr>
              <w:t>,</w:t>
            </w:r>
            <w:r w:rsidRPr="00C80F8E">
              <w:rPr>
                <w:rFonts w:ascii="Abadi" w:hAnsi="Abadi" w:cstheme="minorHAnsi"/>
                <w:sz w:val="20"/>
                <w:szCs w:val="20"/>
                <w:lang w:val="es-ES_tradnl"/>
              </w:rPr>
              <w:t>464.03</w:t>
            </w:r>
          </w:p>
        </w:tc>
        <w:tc>
          <w:tcPr>
            <w:tcW w:w="2125" w:type="dxa"/>
            <w:tcBorders>
              <w:top w:val="single" w:sz="4" w:space="0" w:color="auto"/>
              <w:bottom w:val="single" w:sz="4" w:space="0" w:color="auto"/>
            </w:tcBorders>
            <w:vAlign w:val="bottom"/>
          </w:tcPr>
          <w:p w14:paraId="55DEDE36" w14:textId="4E85F5F8" w:rsidR="007E0CF7" w:rsidRPr="00C80F8E" w:rsidRDefault="007E0CF7"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12,323.24</w:t>
            </w:r>
          </w:p>
        </w:tc>
      </w:tr>
      <w:tr w:rsidR="007E0CF7" w:rsidRPr="00C80F8E" w14:paraId="7B5C1D27" w14:textId="77777777" w:rsidTr="007E0CF7">
        <w:trPr>
          <w:trHeight w:val="326"/>
        </w:trPr>
        <w:tc>
          <w:tcPr>
            <w:tcW w:w="5045" w:type="dxa"/>
            <w:vAlign w:val="bottom"/>
          </w:tcPr>
          <w:p w14:paraId="651F4B16" w14:textId="05B2A207" w:rsidR="007E0CF7" w:rsidRPr="00C80F8E" w:rsidRDefault="003239C6" w:rsidP="0094557C">
            <w:pPr>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Productos de cuero, caucho y plástico</w:t>
            </w:r>
          </w:p>
        </w:tc>
        <w:tc>
          <w:tcPr>
            <w:tcW w:w="2220" w:type="dxa"/>
            <w:tcBorders>
              <w:top w:val="single" w:sz="4" w:space="0" w:color="auto"/>
              <w:bottom w:val="single" w:sz="4" w:space="0" w:color="auto"/>
            </w:tcBorders>
            <w:vAlign w:val="bottom"/>
          </w:tcPr>
          <w:p w14:paraId="7C90845F" w14:textId="0E4CF954" w:rsidR="007E0CF7" w:rsidRPr="00C80F8E" w:rsidRDefault="00B4060F"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47</w:t>
            </w:r>
            <w:r w:rsidR="001D07B4" w:rsidRPr="00C80F8E">
              <w:rPr>
                <w:rFonts w:ascii="Abadi" w:hAnsi="Abadi" w:cstheme="minorHAnsi"/>
                <w:sz w:val="20"/>
                <w:szCs w:val="20"/>
                <w:lang w:val="es-ES_tradnl"/>
              </w:rPr>
              <w:t>,</w:t>
            </w:r>
            <w:r w:rsidRPr="00C80F8E">
              <w:rPr>
                <w:rFonts w:ascii="Abadi" w:hAnsi="Abadi" w:cstheme="minorHAnsi"/>
                <w:sz w:val="20"/>
                <w:szCs w:val="20"/>
                <w:lang w:val="es-ES_tradnl"/>
              </w:rPr>
              <w:t>897.0</w:t>
            </w:r>
            <w:r w:rsidR="00EE44F0" w:rsidRPr="00C80F8E">
              <w:rPr>
                <w:rFonts w:ascii="Abadi" w:hAnsi="Abadi" w:cstheme="minorHAnsi"/>
                <w:sz w:val="20"/>
                <w:szCs w:val="20"/>
                <w:lang w:val="es-ES_tradnl"/>
              </w:rPr>
              <w:t>5</w:t>
            </w:r>
          </w:p>
        </w:tc>
        <w:tc>
          <w:tcPr>
            <w:tcW w:w="2125" w:type="dxa"/>
            <w:tcBorders>
              <w:top w:val="single" w:sz="4" w:space="0" w:color="auto"/>
              <w:bottom w:val="single" w:sz="4" w:space="0" w:color="auto"/>
            </w:tcBorders>
            <w:vAlign w:val="bottom"/>
          </w:tcPr>
          <w:p w14:paraId="4F333A9B" w14:textId="043A1426" w:rsidR="007E0CF7" w:rsidRPr="00C80F8E" w:rsidRDefault="007E0CF7"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33,797.86</w:t>
            </w:r>
          </w:p>
        </w:tc>
      </w:tr>
      <w:tr w:rsidR="007E0CF7" w:rsidRPr="00C80F8E" w14:paraId="01920363" w14:textId="77777777" w:rsidTr="007E0CF7">
        <w:trPr>
          <w:trHeight w:val="326"/>
        </w:trPr>
        <w:tc>
          <w:tcPr>
            <w:tcW w:w="5045" w:type="dxa"/>
            <w:vAlign w:val="bottom"/>
          </w:tcPr>
          <w:p w14:paraId="0EDC55DA" w14:textId="5084FB60" w:rsidR="007E0CF7" w:rsidRPr="00C80F8E" w:rsidRDefault="003239C6" w:rsidP="0094557C">
            <w:pPr>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Combustibles, lubricantes, productos químicos y conexos</w:t>
            </w:r>
          </w:p>
        </w:tc>
        <w:tc>
          <w:tcPr>
            <w:tcW w:w="2220" w:type="dxa"/>
            <w:tcBorders>
              <w:top w:val="single" w:sz="4" w:space="0" w:color="auto"/>
              <w:bottom w:val="single" w:sz="4" w:space="0" w:color="auto"/>
            </w:tcBorders>
            <w:vAlign w:val="bottom"/>
          </w:tcPr>
          <w:p w14:paraId="35D64E6F" w14:textId="338DB6ED" w:rsidR="007E0CF7" w:rsidRPr="00C80F8E" w:rsidRDefault="005B040E"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190,998.56</w:t>
            </w:r>
          </w:p>
        </w:tc>
        <w:tc>
          <w:tcPr>
            <w:tcW w:w="2125" w:type="dxa"/>
            <w:tcBorders>
              <w:top w:val="single" w:sz="4" w:space="0" w:color="auto"/>
              <w:bottom w:val="single" w:sz="4" w:space="0" w:color="auto"/>
            </w:tcBorders>
            <w:vAlign w:val="bottom"/>
          </w:tcPr>
          <w:p w14:paraId="798BC1AD" w14:textId="43239C3E" w:rsidR="007E0CF7" w:rsidRPr="00C80F8E" w:rsidRDefault="007E0CF7"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134,775.31</w:t>
            </w:r>
          </w:p>
        </w:tc>
      </w:tr>
      <w:tr w:rsidR="007E0CF7" w:rsidRPr="00C80F8E" w14:paraId="557FDDD9" w14:textId="77777777" w:rsidTr="007E0CF7">
        <w:trPr>
          <w:trHeight w:val="326"/>
        </w:trPr>
        <w:tc>
          <w:tcPr>
            <w:tcW w:w="5045" w:type="dxa"/>
            <w:vAlign w:val="bottom"/>
          </w:tcPr>
          <w:p w14:paraId="1BE80B40" w14:textId="31E5B08D" w:rsidR="007E0CF7" w:rsidRPr="00C80F8E" w:rsidRDefault="00286F30" w:rsidP="0094557C">
            <w:pPr>
              <w:contextualSpacing/>
              <w:jc w:val="both"/>
              <w:rPr>
                <w:rFonts w:ascii="Abadi" w:hAnsi="Abadi" w:cstheme="minorHAnsi"/>
                <w:bCs/>
                <w:sz w:val="20"/>
                <w:szCs w:val="20"/>
                <w:lang w:val="es-ES_tradnl"/>
              </w:rPr>
            </w:pPr>
            <w:r w:rsidRPr="00C80F8E">
              <w:rPr>
                <w:rFonts w:ascii="Abadi" w:hAnsi="Abadi" w:cstheme="minorHAnsi"/>
                <w:bCs/>
                <w:sz w:val="20"/>
                <w:szCs w:val="20"/>
                <w:lang w:val="es-ES_tradnl"/>
              </w:rPr>
              <w:t>Materiales y suministros varios</w:t>
            </w:r>
          </w:p>
        </w:tc>
        <w:tc>
          <w:tcPr>
            <w:tcW w:w="2220" w:type="dxa"/>
            <w:tcBorders>
              <w:top w:val="single" w:sz="4" w:space="0" w:color="auto"/>
              <w:bottom w:val="single" w:sz="12" w:space="0" w:color="auto"/>
            </w:tcBorders>
            <w:vAlign w:val="bottom"/>
          </w:tcPr>
          <w:p w14:paraId="30044708" w14:textId="3C0490A5" w:rsidR="007E0CF7" w:rsidRPr="00C80F8E" w:rsidRDefault="00014123"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1,103,203.20</w:t>
            </w:r>
          </w:p>
        </w:tc>
        <w:tc>
          <w:tcPr>
            <w:tcW w:w="2125" w:type="dxa"/>
            <w:tcBorders>
              <w:top w:val="single" w:sz="4" w:space="0" w:color="auto"/>
              <w:bottom w:val="single" w:sz="12" w:space="0" w:color="auto"/>
            </w:tcBorders>
            <w:vAlign w:val="bottom"/>
          </w:tcPr>
          <w:p w14:paraId="2F25BAE6" w14:textId="482DD755" w:rsidR="007E0CF7" w:rsidRPr="00C80F8E" w:rsidRDefault="007E0CF7" w:rsidP="0094557C">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778,459.06</w:t>
            </w:r>
          </w:p>
        </w:tc>
      </w:tr>
      <w:tr w:rsidR="007E0CF7" w:rsidRPr="00C80F8E" w14:paraId="4F102C30" w14:textId="77777777" w:rsidTr="007E0CF7">
        <w:trPr>
          <w:trHeight w:val="326"/>
        </w:trPr>
        <w:tc>
          <w:tcPr>
            <w:tcW w:w="5045" w:type="dxa"/>
            <w:shd w:val="clear" w:color="auto" w:fill="FFFFFF" w:themeFill="background1"/>
            <w:vAlign w:val="bottom"/>
          </w:tcPr>
          <w:p w14:paraId="25315B20" w14:textId="5C72CC23" w:rsidR="007E0CF7" w:rsidRPr="00C80F8E" w:rsidRDefault="007E0CF7" w:rsidP="0094557C">
            <w:pPr>
              <w:contextualSpacing/>
              <w:jc w:val="both"/>
              <w:rPr>
                <w:rFonts w:ascii="Abadi" w:hAnsi="Abadi" w:cstheme="minorHAnsi"/>
                <w:sz w:val="20"/>
                <w:szCs w:val="20"/>
                <w:lang w:val="es-ES_tradnl"/>
              </w:rPr>
            </w:pPr>
            <w:proofErr w:type="gramStart"/>
            <w:r w:rsidRPr="00C80F8E">
              <w:rPr>
                <w:rFonts w:ascii="Abadi" w:hAnsi="Abadi" w:cstheme="minorHAnsi"/>
                <w:sz w:val="20"/>
                <w:szCs w:val="20"/>
                <w:lang w:val="es-ES_tradnl"/>
              </w:rPr>
              <w:t>Total</w:t>
            </w:r>
            <w:proofErr w:type="gramEnd"/>
            <w:r w:rsidRPr="00C80F8E">
              <w:rPr>
                <w:rFonts w:ascii="Abadi" w:hAnsi="Abadi" w:cstheme="minorHAnsi"/>
                <w:sz w:val="20"/>
                <w:szCs w:val="20"/>
                <w:lang w:val="es-ES_tradnl"/>
              </w:rPr>
              <w:t xml:space="preserve"> de Inventarios</w:t>
            </w:r>
          </w:p>
        </w:tc>
        <w:tc>
          <w:tcPr>
            <w:tcW w:w="2220" w:type="dxa"/>
            <w:tcBorders>
              <w:top w:val="single" w:sz="12" w:space="0" w:color="auto"/>
              <w:bottom w:val="double" w:sz="4" w:space="0" w:color="auto"/>
            </w:tcBorders>
            <w:shd w:val="clear" w:color="auto" w:fill="FFFFFF" w:themeFill="background1"/>
            <w:vAlign w:val="bottom"/>
          </w:tcPr>
          <w:p w14:paraId="718191B2" w14:textId="00CB8732" w:rsidR="007E0CF7" w:rsidRPr="00C80F8E" w:rsidRDefault="000D20ED" w:rsidP="0094557C">
            <w:pPr>
              <w:contextualSpacing/>
              <w:jc w:val="right"/>
              <w:rPr>
                <w:rFonts w:ascii="Abadi" w:hAnsi="Abadi" w:cstheme="minorHAnsi"/>
                <w:b/>
                <w:sz w:val="20"/>
                <w:szCs w:val="20"/>
                <w:lang w:val="es-ES_tradnl"/>
              </w:rPr>
            </w:pPr>
            <w:r w:rsidRPr="00C80F8E">
              <w:rPr>
                <w:rFonts w:ascii="Abadi" w:hAnsi="Abadi" w:cstheme="minorHAnsi"/>
                <w:b/>
                <w:sz w:val="20"/>
                <w:szCs w:val="20"/>
                <w:lang w:val="es-ES_tradnl"/>
              </w:rPr>
              <w:t>2,105,624.4</w:t>
            </w:r>
            <w:r w:rsidR="00EE44F0" w:rsidRPr="00C80F8E">
              <w:rPr>
                <w:rFonts w:ascii="Abadi" w:hAnsi="Abadi" w:cstheme="minorHAnsi"/>
                <w:b/>
                <w:sz w:val="20"/>
                <w:szCs w:val="20"/>
                <w:lang w:val="es-ES_tradnl"/>
              </w:rPr>
              <w:t>5</w:t>
            </w:r>
            <w:r w:rsidR="001D07B4" w:rsidRPr="00C80F8E">
              <w:rPr>
                <w:rFonts w:ascii="Abadi" w:hAnsi="Abadi" w:cstheme="minorHAnsi"/>
                <w:b/>
                <w:sz w:val="20"/>
                <w:szCs w:val="20"/>
                <w:lang w:val="es-ES_tradnl"/>
              </w:rPr>
              <w:fldChar w:fldCharType="begin"/>
            </w:r>
            <w:r w:rsidR="001D07B4" w:rsidRPr="00C80F8E">
              <w:rPr>
                <w:rFonts w:ascii="Abadi" w:hAnsi="Abadi" w:cstheme="minorHAnsi"/>
                <w:b/>
                <w:sz w:val="20"/>
                <w:szCs w:val="20"/>
                <w:lang w:val="es-ES_tradnl"/>
              </w:rPr>
              <w:instrText xml:space="preserve"> =SUM(ABOVE) \# "#,##0.00" </w:instrText>
            </w:r>
            <w:r w:rsidR="001D07B4" w:rsidRPr="00C80F8E">
              <w:rPr>
                <w:rFonts w:ascii="Abadi" w:hAnsi="Abadi" w:cstheme="minorHAnsi"/>
                <w:b/>
                <w:sz w:val="20"/>
                <w:szCs w:val="20"/>
                <w:lang w:val="es-ES_tradnl"/>
              </w:rPr>
              <w:fldChar w:fldCharType="separate"/>
            </w:r>
            <w:r w:rsidR="001D07B4" w:rsidRPr="00C80F8E">
              <w:rPr>
                <w:rFonts w:ascii="Abadi" w:hAnsi="Abadi" w:cstheme="minorHAnsi"/>
                <w:b/>
                <w:sz w:val="20"/>
                <w:szCs w:val="20"/>
                <w:lang w:val="es-ES_tradnl"/>
              </w:rPr>
              <w:fldChar w:fldCharType="end"/>
            </w:r>
          </w:p>
        </w:tc>
        <w:tc>
          <w:tcPr>
            <w:tcW w:w="2125" w:type="dxa"/>
            <w:tcBorders>
              <w:top w:val="single" w:sz="12" w:space="0" w:color="auto"/>
              <w:bottom w:val="double" w:sz="4" w:space="0" w:color="auto"/>
            </w:tcBorders>
            <w:shd w:val="clear" w:color="auto" w:fill="FFFFFF" w:themeFill="background1"/>
            <w:vAlign w:val="bottom"/>
          </w:tcPr>
          <w:p w14:paraId="12BF46EA" w14:textId="77777777" w:rsidR="007E0CF7" w:rsidRPr="00C80F8E" w:rsidRDefault="007E0CF7" w:rsidP="0094557C">
            <w:pPr>
              <w:contextualSpacing/>
              <w:jc w:val="right"/>
              <w:rPr>
                <w:rFonts w:ascii="Abadi" w:hAnsi="Abadi" w:cstheme="minorHAnsi"/>
                <w:b/>
                <w:sz w:val="20"/>
                <w:szCs w:val="20"/>
                <w:lang w:val="es-ES_tradnl"/>
              </w:rPr>
            </w:pPr>
            <w:r w:rsidRPr="00C80F8E">
              <w:rPr>
                <w:rFonts w:ascii="Abadi" w:hAnsi="Abadi" w:cstheme="minorHAnsi"/>
                <w:b/>
                <w:sz w:val="20"/>
                <w:szCs w:val="20"/>
                <w:lang w:val="es-ES_tradnl"/>
              </w:rPr>
              <w:t>1,485,802.83</w:t>
            </w:r>
          </w:p>
        </w:tc>
      </w:tr>
    </w:tbl>
    <w:p w14:paraId="04FEF14B" w14:textId="77777777" w:rsidR="00892D69" w:rsidRPr="00C80F8E" w:rsidRDefault="00892D69" w:rsidP="00F43D5B">
      <w:pPr>
        <w:rPr>
          <w:rFonts w:ascii="Abadi" w:hAnsi="Abadi" w:cstheme="minorHAnsi"/>
          <w:b/>
          <w:sz w:val="20"/>
          <w:szCs w:val="20"/>
          <w:lang w:val="es-ES_tradnl"/>
        </w:rPr>
      </w:pPr>
    </w:p>
    <w:p w14:paraId="636B4326" w14:textId="56EB0D38" w:rsidR="00312908" w:rsidRPr="00C80F8E" w:rsidRDefault="002D1536" w:rsidP="00A7606E">
      <w:pPr>
        <w:pStyle w:val="Prrafodelista"/>
        <w:numPr>
          <w:ilvl w:val="0"/>
          <w:numId w:val="1"/>
        </w:numPr>
        <w:ind w:left="426"/>
        <w:rPr>
          <w:rFonts w:ascii="Abadi" w:hAnsi="Abadi" w:cstheme="minorHAnsi"/>
          <w:b/>
          <w:sz w:val="20"/>
          <w:szCs w:val="20"/>
          <w:lang w:val="es-ES_tradnl"/>
        </w:rPr>
      </w:pPr>
      <w:r w:rsidRPr="00C80F8E">
        <w:rPr>
          <w:rFonts w:ascii="Abadi" w:hAnsi="Abadi" w:cstheme="minorHAnsi"/>
          <w:b/>
          <w:sz w:val="20"/>
          <w:szCs w:val="20"/>
          <w:lang w:val="es-ES_tradnl"/>
        </w:rPr>
        <w:t xml:space="preserve">Pagos </w:t>
      </w:r>
      <w:r w:rsidR="00BE32B7" w:rsidRPr="00C80F8E">
        <w:rPr>
          <w:rFonts w:ascii="Abadi" w:hAnsi="Abadi" w:cstheme="minorHAnsi"/>
          <w:b/>
          <w:sz w:val="20"/>
          <w:szCs w:val="20"/>
          <w:lang w:val="es-ES_tradnl"/>
        </w:rPr>
        <w:t>Anticipados</w:t>
      </w:r>
    </w:p>
    <w:p w14:paraId="24FBF29B" w14:textId="5DD89F68" w:rsidR="00BE32B7" w:rsidRPr="00C80F8E" w:rsidRDefault="00603855" w:rsidP="00BE32B7">
      <w:pPr>
        <w:ind w:left="66"/>
        <w:rPr>
          <w:rFonts w:ascii="Abadi" w:hAnsi="Abadi" w:cstheme="minorHAnsi"/>
          <w:bCs/>
          <w:sz w:val="20"/>
          <w:szCs w:val="20"/>
          <w:lang w:val="es-ES_tradnl"/>
        </w:rPr>
      </w:pPr>
      <w:r w:rsidRPr="00C80F8E">
        <w:rPr>
          <w:rFonts w:ascii="Abadi" w:hAnsi="Abadi" w:cstheme="minorHAnsi"/>
          <w:bCs/>
          <w:sz w:val="20"/>
          <w:szCs w:val="20"/>
          <w:lang w:val="es-ES_tradnl"/>
        </w:rPr>
        <w:t>Al 30 de junio de 2025, el total de pagos anticipados ascendió a RD$4,379,377.89, en comparación con RD$1,867,573.79 registrados al 30 de junio de 2024. Esta diferencia representa un incremento absoluto de RD$2,511,804.10 y una variación relativa positiva de 134.45%, atribuida principalmente al pago anticipado de primas de seguros y compromisos internacionales asumidos para el segundo semestre del ejercicio 2025.</w:t>
      </w:r>
      <w:r w:rsidR="00D13A58" w:rsidRPr="00C80F8E">
        <w:rPr>
          <w:rFonts w:ascii="Abadi" w:hAnsi="Abadi" w:cstheme="minorHAnsi"/>
          <w:bCs/>
          <w:sz w:val="20"/>
          <w:szCs w:val="20"/>
          <w:lang w:val="es-ES_tradnl"/>
        </w:rPr>
        <w:t>, es como sigue:</w:t>
      </w:r>
    </w:p>
    <w:tbl>
      <w:tblPr>
        <w:tblStyle w:val="Tablaconcuadrcula"/>
        <w:tblW w:w="9381" w:type="dxa"/>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45"/>
        <w:gridCol w:w="2290"/>
        <w:gridCol w:w="2146"/>
      </w:tblGrid>
      <w:tr w:rsidR="00D13A58" w:rsidRPr="00C80F8E" w14:paraId="4D21ABBE" w14:textId="77777777" w:rsidTr="00CD6229">
        <w:trPr>
          <w:trHeight w:val="300"/>
        </w:trPr>
        <w:tc>
          <w:tcPr>
            <w:tcW w:w="4945" w:type="dxa"/>
            <w:shd w:val="clear" w:color="auto" w:fill="0070C0"/>
          </w:tcPr>
          <w:p w14:paraId="7096EA10" w14:textId="77777777" w:rsidR="00D13A58" w:rsidRPr="00C80F8E" w:rsidRDefault="00D13A58" w:rsidP="00F770F7">
            <w:pPr>
              <w:contextualSpacing/>
              <w:jc w:val="center"/>
              <w:rPr>
                <w:rFonts w:ascii="Abadi" w:hAnsi="Abadi" w:cstheme="minorHAnsi"/>
                <w:b/>
                <w:bCs/>
                <w:color w:val="FFFFFF" w:themeColor="background1"/>
                <w:sz w:val="20"/>
                <w:szCs w:val="20"/>
                <w:lang w:val="es-ES_tradnl"/>
              </w:rPr>
            </w:pPr>
            <w:bookmarkStart w:id="50" w:name="_Hlk176857914"/>
            <w:r w:rsidRPr="00C80F8E">
              <w:rPr>
                <w:rFonts w:ascii="Abadi" w:hAnsi="Abadi" w:cstheme="minorHAnsi"/>
                <w:b/>
                <w:bCs/>
                <w:color w:val="FFFFFF" w:themeColor="background1"/>
                <w:sz w:val="20"/>
                <w:szCs w:val="20"/>
                <w:lang w:val="es-ES_tradnl"/>
              </w:rPr>
              <w:t>Descripción</w:t>
            </w:r>
          </w:p>
        </w:tc>
        <w:tc>
          <w:tcPr>
            <w:tcW w:w="2290" w:type="dxa"/>
            <w:shd w:val="clear" w:color="auto" w:fill="0070C0"/>
          </w:tcPr>
          <w:p w14:paraId="689E6C22" w14:textId="6784CC6F" w:rsidR="00D13A58" w:rsidRPr="00C80F8E" w:rsidRDefault="00EA10FC" w:rsidP="00F770F7">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F502DC" w:rsidRPr="00C80F8E">
              <w:rPr>
                <w:rFonts w:ascii="Abadi" w:hAnsi="Abadi" w:cstheme="minorHAnsi"/>
                <w:b/>
                <w:bCs/>
                <w:color w:val="FFFFFF" w:themeColor="background1"/>
                <w:sz w:val="20"/>
                <w:szCs w:val="20"/>
                <w:lang w:val="es-ES_tradnl"/>
              </w:rPr>
              <w:t>5</w:t>
            </w:r>
          </w:p>
        </w:tc>
        <w:tc>
          <w:tcPr>
            <w:tcW w:w="2146" w:type="dxa"/>
            <w:shd w:val="clear" w:color="auto" w:fill="0070C0"/>
          </w:tcPr>
          <w:p w14:paraId="20A74C2A" w14:textId="5FF69C8B" w:rsidR="00D13A58" w:rsidRPr="00C80F8E" w:rsidRDefault="004567A7" w:rsidP="00F770F7">
            <w:pPr>
              <w:contextualSpacing/>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F502DC" w:rsidRPr="00C80F8E">
              <w:rPr>
                <w:rFonts w:ascii="Abadi" w:hAnsi="Abadi" w:cstheme="minorHAnsi"/>
                <w:b/>
                <w:bCs/>
                <w:color w:val="FFFFFF" w:themeColor="background1"/>
                <w:sz w:val="20"/>
                <w:szCs w:val="20"/>
                <w:lang w:val="es-ES_tradnl"/>
              </w:rPr>
              <w:t>4</w:t>
            </w:r>
          </w:p>
        </w:tc>
      </w:tr>
      <w:tr w:rsidR="0008385C" w:rsidRPr="00C80F8E" w14:paraId="20CB76E8" w14:textId="77777777" w:rsidTr="00CD6229">
        <w:trPr>
          <w:trHeight w:val="311"/>
        </w:trPr>
        <w:tc>
          <w:tcPr>
            <w:tcW w:w="4945" w:type="dxa"/>
            <w:vAlign w:val="bottom"/>
          </w:tcPr>
          <w:p w14:paraId="5270038A" w14:textId="7D15E894" w:rsidR="0008385C" w:rsidRPr="00C80F8E" w:rsidRDefault="0008385C" w:rsidP="00F770F7">
            <w:pPr>
              <w:contextualSpacing/>
              <w:jc w:val="both"/>
              <w:rPr>
                <w:rFonts w:ascii="Abadi" w:hAnsi="Abadi" w:cstheme="minorHAnsi"/>
                <w:sz w:val="20"/>
                <w:szCs w:val="20"/>
                <w:lang w:val="es-ES_tradnl"/>
              </w:rPr>
            </w:pPr>
            <w:r w:rsidRPr="00C80F8E">
              <w:rPr>
                <w:rFonts w:ascii="Abadi" w:hAnsi="Abadi" w:cstheme="minorHAnsi"/>
                <w:sz w:val="20"/>
                <w:szCs w:val="20"/>
                <w:lang w:val="es-ES_tradnl"/>
              </w:rPr>
              <w:t xml:space="preserve">Seguros </w:t>
            </w:r>
            <w:r w:rsidR="00CE62CB" w:rsidRPr="00C80F8E">
              <w:rPr>
                <w:rFonts w:ascii="Abadi" w:hAnsi="Abadi" w:cstheme="minorHAnsi"/>
                <w:sz w:val="20"/>
                <w:szCs w:val="20"/>
                <w:lang w:val="es-ES_tradnl"/>
              </w:rPr>
              <w:t xml:space="preserve">Pagados por </w:t>
            </w:r>
            <w:r w:rsidRPr="00C80F8E">
              <w:rPr>
                <w:rFonts w:ascii="Abadi" w:hAnsi="Abadi" w:cstheme="minorHAnsi"/>
                <w:sz w:val="20"/>
                <w:szCs w:val="20"/>
                <w:lang w:val="es-ES_tradnl"/>
              </w:rPr>
              <w:t>A</w:t>
            </w:r>
            <w:r w:rsidR="00694E67" w:rsidRPr="00C80F8E">
              <w:rPr>
                <w:rFonts w:ascii="Abadi" w:hAnsi="Abadi" w:cstheme="minorHAnsi"/>
                <w:sz w:val="20"/>
                <w:szCs w:val="20"/>
                <w:lang w:val="es-ES_tradnl"/>
              </w:rPr>
              <w:t>delantado</w:t>
            </w:r>
          </w:p>
        </w:tc>
        <w:tc>
          <w:tcPr>
            <w:tcW w:w="2290" w:type="dxa"/>
            <w:vAlign w:val="bottom"/>
          </w:tcPr>
          <w:p w14:paraId="2E449455" w14:textId="5EB3A82A" w:rsidR="0008385C" w:rsidRPr="00C80F8E" w:rsidRDefault="00DB5A3E" w:rsidP="00F770F7">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2,815,383.39</w:t>
            </w:r>
          </w:p>
        </w:tc>
        <w:tc>
          <w:tcPr>
            <w:tcW w:w="2146" w:type="dxa"/>
            <w:vAlign w:val="bottom"/>
          </w:tcPr>
          <w:p w14:paraId="17FB5A7F" w14:textId="63A0D253" w:rsidR="0008385C" w:rsidRPr="00C80F8E" w:rsidRDefault="00921A64" w:rsidP="00F770F7">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1,004,886.29</w:t>
            </w:r>
          </w:p>
        </w:tc>
      </w:tr>
      <w:tr w:rsidR="005C4BA1" w:rsidRPr="00C80F8E" w14:paraId="723FE6D3" w14:textId="77777777" w:rsidTr="00CD6229">
        <w:trPr>
          <w:trHeight w:val="311"/>
        </w:trPr>
        <w:tc>
          <w:tcPr>
            <w:tcW w:w="4945" w:type="dxa"/>
            <w:vAlign w:val="bottom"/>
          </w:tcPr>
          <w:p w14:paraId="5B172CC1" w14:textId="2BA23865" w:rsidR="005C4BA1" w:rsidRPr="00C80F8E" w:rsidRDefault="00921A64" w:rsidP="00F770F7">
            <w:pPr>
              <w:contextualSpacing/>
              <w:jc w:val="both"/>
              <w:rPr>
                <w:rFonts w:ascii="Abadi" w:hAnsi="Abadi" w:cstheme="minorHAnsi"/>
                <w:sz w:val="20"/>
                <w:szCs w:val="20"/>
                <w:lang w:val="es-ES_tradnl"/>
              </w:rPr>
            </w:pPr>
            <w:r w:rsidRPr="00C80F8E">
              <w:rPr>
                <w:rFonts w:ascii="Abadi" w:hAnsi="Abadi" w:cstheme="minorHAnsi"/>
                <w:sz w:val="20"/>
                <w:szCs w:val="20"/>
                <w:lang w:val="es-ES_tradnl"/>
              </w:rPr>
              <w:t>Cuotas Internacionales</w:t>
            </w:r>
          </w:p>
        </w:tc>
        <w:tc>
          <w:tcPr>
            <w:tcW w:w="2290" w:type="dxa"/>
            <w:tcBorders>
              <w:bottom w:val="single" w:sz="12" w:space="0" w:color="auto"/>
            </w:tcBorders>
            <w:vAlign w:val="bottom"/>
          </w:tcPr>
          <w:p w14:paraId="231CC3C1" w14:textId="24B3B3DD" w:rsidR="005C4BA1" w:rsidRPr="00C80F8E" w:rsidRDefault="000F2EE1" w:rsidP="00F770F7">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1,563,994.50</w:t>
            </w:r>
          </w:p>
        </w:tc>
        <w:tc>
          <w:tcPr>
            <w:tcW w:w="2146" w:type="dxa"/>
            <w:tcBorders>
              <w:bottom w:val="single" w:sz="12" w:space="0" w:color="auto"/>
            </w:tcBorders>
            <w:vAlign w:val="bottom"/>
          </w:tcPr>
          <w:p w14:paraId="218E7C36" w14:textId="5DC1DF20" w:rsidR="005C4BA1" w:rsidRPr="00C80F8E" w:rsidRDefault="005E4DBC" w:rsidP="00F770F7">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862,687.50</w:t>
            </w:r>
          </w:p>
        </w:tc>
      </w:tr>
      <w:tr w:rsidR="00D13A58" w:rsidRPr="00C80F8E" w14:paraId="747778C3" w14:textId="77777777" w:rsidTr="00CD6229">
        <w:trPr>
          <w:trHeight w:val="311"/>
        </w:trPr>
        <w:tc>
          <w:tcPr>
            <w:tcW w:w="4945" w:type="dxa"/>
            <w:shd w:val="clear" w:color="auto" w:fill="FFFFFF" w:themeFill="background1"/>
            <w:vAlign w:val="bottom"/>
          </w:tcPr>
          <w:p w14:paraId="0D8F98D1" w14:textId="50CE368A" w:rsidR="00D13A58" w:rsidRPr="00C80F8E" w:rsidRDefault="00D13A58" w:rsidP="00F770F7">
            <w:pPr>
              <w:contextualSpacing/>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de </w:t>
            </w:r>
            <w:r w:rsidR="00AD4C79" w:rsidRPr="00C80F8E">
              <w:rPr>
                <w:rFonts w:ascii="Abadi" w:hAnsi="Abadi" w:cstheme="minorHAnsi"/>
                <w:b/>
                <w:bCs/>
                <w:sz w:val="20"/>
                <w:szCs w:val="20"/>
                <w:lang w:val="es-ES_tradnl"/>
              </w:rPr>
              <w:t>Pago</w:t>
            </w:r>
            <w:r w:rsidRPr="00C80F8E">
              <w:rPr>
                <w:rFonts w:ascii="Abadi" w:hAnsi="Abadi" w:cstheme="minorHAnsi"/>
                <w:b/>
                <w:bCs/>
                <w:sz w:val="20"/>
                <w:szCs w:val="20"/>
                <w:lang w:val="es-ES_tradnl"/>
              </w:rPr>
              <w:t>s</w:t>
            </w:r>
            <w:r w:rsidR="00AD4C79" w:rsidRPr="00C80F8E">
              <w:rPr>
                <w:rFonts w:ascii="Abadi" w:hAnsi="Abadi" w:cstheme="minorHAnsi"/>
                <w:b/>
                <w:bCs/>
                <w:sz w:val="20"/>
                <w:szCs w:val="20"/>
                <w:lang w:val="es-ES_tradnl"/>
              </w:rPr>
              <w:t xml:space="preserve"> Anticipados</w:t>
            </w:r>
          </w:p>
        </w:tc>
        <w:tc>
          <w:tcPr>
            <w:tcW w:w="2290" w:type="dxa"/>
            <w:tcBorders>
              <w:top w:val="single" w:sz="12" w:space="0" w:color="auto"/>
              <w:bottom w:val="double" w:sz="4" w:space="0" w:color="auto"/>
            </w:tcBorders>
            <w:shd w:val="clear" w:color="auto" w:fill="FFFFFF" w:themeFill="background1"/>
            <w:vAlign w:val="bottom"/>
          </w:tcPr>
          <w:p w14:paraId="58E647AA" w14:textId="2E025350" w:rsidR="00D13A58" w:rsidRPr="00C80F8E" w:rsidRDefault="000F2EE1" w:rsidP="00B50FB2">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4,379,377.89</w:t>
            </w:r>
          </w:p>
        </w:tc>
        <w:tc>
          <w:tcPr>
            <w:tcW w:w="2146" w:type="dxa"/>
            <w:tcBorders>
              <w:top w:val="single" w:sz="12" w:space="0" w:color="auto"/>
              <w:bottom w:val="double" w:sz="4" w:space="0" w:color="auto"/>
            </w:tcBorders>
            <w:shd w:val="clear" w:color="auto" w:fill="FFFFFF" w:themeFill="background1"/>
            <w:vAlign w:val="bottom"/>
          </w:tcPr>
          <w:p w14:paraId="15583860" w14:textId="35155B79" w:rsidR="00D13A58" w:rsidRPr="00C80F8E" w:rsidRDefault="005E4DBC" w:rsidP="00F770F7">
            <w:pPr>
              <w:contextualSpacing/>
              <w:jc w:val="right"/>
              <w:rPr>
                <w:rFonts w:ascii="Abadi" w:hAnsi="Abadi" w:cstheme="minorHAnsi"/>
                <w:b/>
                <w:bCs/>
                <w:sz w:val="20"/>
                <w:szCs w:val="20"/>
                <w:lang w:val="es-ES_tradnl"/>
              </w:rPr>
            </w:pPr>
            <w:r w:rsidRPr="00C80F8E">
              <w:rPr>
                <w:rFonts w:ascii="Abadi" w:hAnsi="Abadi" w:cstheme="minorHAnsi"/>
                <w:b/>
                <w:bCs/>
                <w:sz w:val="20"/>
                <w:szCs w:val="20"/>
                <w:lang w:val="es-ES_tradnl"/>
              </w:rPr>
              <w:t>1,867,573.79</w:t>
            </w:r>
          </w:p>
        </w:tc>
      </w:tr>
      <w:bookmarkEnd w:id="50"/>
    </w:tbl>
    <w:p w14:paraId="26017AF3" w14:textId="77777777" w:rsidR="003D6C30" w:rsidRPr="00C80F8E" w:rsidRDefault="003D6C30" w:rsidP="00A22E02">
      <w:pPr>
        <w:spacing w:line="240" w:lineRule="auto"/>
        <w:contextualSpacing/>
        <w:rPr>
          <w:rFonts w:ascii="Abadi" w:hAnsi="Abadi" w:cstheme="minorHAnsi"/>
          <w:b/>
          <w:sz w:val="16"/>
          <w:szCs w:val="16"/>
          <w:lang w:val="es-ES_tradnl"/>
        </w:rPr>
      </w:pPr>
    </w:p>
    <w:p w14:paraId="6B74226A" w14:textId="34AE3B43" w:rsidR="00FA2452" w:rsidRPr="00C80F8E" w:rsidRDefault="002421D1" w:rsidP="00A7606E">
      <w:pPr>
        <w:pStyle w:val="Prrafodelista"/>
        <w:numPr>
          <w:ilvl w:val="1"/>
          <w:numId w:val="1"/>
        </w:numPr>
        <w:ind w:left="426"/>
        <w:rPr>
          <w:rFonts w:ascii="Abadi" w:hAnsi="Abadi" w:cstheme="minorHAnsi"/>
          <w:b/>
          <w:sz w:val="20"/>
          <w:szCs w:val="20"/>
          <w:lang w:val="es-ES_tradnl"/>
        </w:rPr>
      </w:pPr>
      <w:r w:rsidRPr="00C80F8E">
        <w:rPr>
          <w:rFonts w:ascii="Abadi" w:hAnsi="Abadi" w:cstheme="minorHAnsi"/>
          <w:b/>
          <w:sz w:val="20"/>
          <w:szCs w:val="20"/>
          <w:lang w:val="es-ES_tradnl"/>
        </w:rPr>
        <w:t>Seguros Pagados por Adelantado</w:t>
      </w:r>
    </w:p>
    <w:p w14:paraId="5907F66F" w14:textId="77777777" w:rsidR="002E3291" w:rsidRPr="00C80F8E" w:rsidRDefault="00B33FB2" w:rsidP="00677E3B">
      <w:pPr>
        <w:ind w:left="66"/>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total de seguros pagados por adelantado ascendió a RD$2,815,383.39, en comparación con RD$1,004,886.29 registrados al 30 de junio de 2024. Esta diferencia representa un incremento absoluto de RD$1,810,497.10 y una variación relativa positiva de 180.15%</w:t>
      </w:r>
      <w:r w:rsidR="002E3291" w:rsidRPr="00C80F8E">
        <w:rPr>
          <w:rFonts w:ascii="Abadi" w:hAnsi="Abadi" w:cstheme="minorHAnsi"/>
          <w:bCs/>
          <w:sz w:val="20"/>
          <w:szCs w:val="20"/>
          <w:lang w:val="es-ES_tradnl"/>
        </w:rPr>
        <w:t>.</w:t>
      </w:r>
    </w:p>
    <w:p w14:paraId="61591F69" w14:textId="6CD4CEA8" w:rsidR="00FA2452" w:rsidRPr="00C80F8E" w:rsidRDefault="00677E3B" w:rsidP="00677E3B">
      <w:pPr>
        <w:ind w:left="66"/>
        <w:jc w:val="both"/>
        <w:rPr>
          <w:rFonts w:ascii="Abadi" w:hAnsi="Abadi" w:cstheme="minorHAnsi"/>
          <w:bCs/>
          <w:sz w:val="20"/>
          <w:szCs w:val="20"/>
          <w:lang w:val="es-ES_tradnl"/>
        </w:rPr>
      </w:pPr>
      <w:r w:rsidRPr="00C80F8E">
        <w:rPr>
          <w:rFonts w:ascii="Abadi" w:hAnsi="Abadi" w:cstheme="minorHAnsi"/>
          <w:bCs/>
          <w:sz w:val="20"/>
          <w:szCs w:val="20"/>
          <w:lang w:val="es-ES_tradnl"/>
        </w:rPr>
        <w:t>Este aumento se relaciona con la contratación y renovación anticipada de pólizas de seguros correspondientes a riesgos patrimoniales, personales y de responsabilidad civil, con efecto en el segundo semestre del ejercicio fiscal 2025.</w:t>
      </w:r>
      <w:r w:rsidR="00FA2452" w:rsidRPr="00C80F8E">
        <w:rPr>
          <w:rFonts w:ascii="Abadi" w:hAnsi="Abadi" w:cstheme="minorHAnsi"/>
          <w:bCs/>
          <w:sz w:val="20"/>
          <w:szCs w:val="20"/>
          <w:lang w:val="es-ES_tradnl"/>
        </w:rPr>
        <w:t>, es como sigue:</w:t>
      </w:r>
    </w:p>
    <w:tbl>
      <w:tblPr>
        <w:tblStyle w:val="Tablaconcuadrcula"/>
        <w:tblW w:w="0" w:type="auto"/>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91"/>
        <w:gridCol w:w="2268"/>
        <w:gridCol w:w="2125"/>
      </w:tblGrid>
      <w:tr w:rsidR="00ED04D6" w:rsidRPr="00C80F8E" w14:paraId="50614EC3" w14:textId="77777777" w:rsidTr="00B743E2">
        <w:tc>
          <w:tcPr>
            <w:tcW w:w="4891" w:type="dxa"/>
            <w:shd w:val="clear" w:color="auto" w:fill="0070C0"/>
            <w:vAlign w:val="bottom"/>
          </w:tcPr>
          <w:p w14:paraId="40D2DA9F" w14:textId="77777777" w:rsidR="00ED04D6" w:rsidRPr="00C80F8E" w:rsidRDefault="00ED04D6" w:rsidP="00BB7A0A">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vAlign w:val="bottom"/>
          </w:tcPr>
          <w:p w14:paraId="7419E7D7" w14:textId="05A316E7" w:rsidR="00ED04D6" w:rsidRPr="00C80F8E" w:rsidRDefault="00494209" w:rsidP="00BB7A0A">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w:t>
            </w:r>
            <w:r w:rsidR="00ED04D6" w:rsidRPr="00C80F8E">
              <w:rPr>
                <w:rFonts w:ascii="Abadi" w:hAnsi="Abadi" w:cstheme="minorHAnsi"/>
                <w:b/>
                <w:bCs/>
                <w:color w:val="FFFFFF" w:themeColor="background1"/>
                <w:sz w:val="20"/>
                <w:szCs w:val="20"/>
                <w:lang w:val="es-ES_tradnl"/>
              </w:rPr>
              <w:t>202</w:t>
            </w:r>
            <w:r w:rsidR="006540A1" w:rsidRPr="00C80F8E">
              <w:rPr>
                <w:rFonts w:ascii="Abadi" w:hAnsi="Abadi" w:cstheme="minorHAnsi"/>
                <w:b/>
                <w:bCs/>
                <w:color w:val="FFFFFF" w:themeColor="background1"/>
                <w:sz w:val="20"/>
                <w:szCs w:val="20"/>
                <w:lang w:val="es-ES_tradnl"/>
              </w:rPr>
              <w:t>5</w:t>
            </w:r>
          </w:p>
        </w:tc>
        <w:tc>
          <w:tcPr>
            <w:tcW w:w="2125" w:type="dxa"/>
            <w:shd w:val="clear" w:color="auto" w:fill="0070C0"/>
            <w:vAlign w:val="bottom"/>
          </w:tcPr>
          <w:p w14:paraId="20E01A65" w14:textId="4103F733" w:rsidR="00ED04D6" w:rsidRPr="00C80F8E" w:rsidRDefault="00494209" w:rsidP="00BB7A0A">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w:t>
            </w:r>
            <w:r w:rsidR="00E14982" w:rsidRPr="00C80F8E">
              <w:rPr>
                <w:rFonts w:ascii="Abadi" w:hAnsi="Abadi" w:cstheme="minorHAnsi"/>
                <w:b/>
                <w:bCs/>
                <w:color w:val="FFFFFF" w:themeColor="background1"/>
                <w:sz w:val="20"/>
                <w:szCs w:val="20"/>
                <w:lang w:val="es-ES_tradnl"/>
              </w:rPr>
              <w:t>202</w:t>
            </w:r>
            <w:r w:rsidR="006540A1" w:rsidRPr="00C80F8E">
              <w:rPr>
                <w:rFonts w:ascii="Abadi" w:hAnsi="Abadi" w:cstheme="minorHAnsi"/>
                <w:b/>
                <w:bCs/>
                <w:color w:val="FFFFFF" w:themeColor="background1"/>
                <w:sz w:val="20"/>
                <w:szCs w:val="20"/>
                <w:lang w:val="es-ES_tradnl"/>
              </w:rPr>
              <w:t>4</w:t>
            </w:r>
            <w:r w:rsidRPr="00C80F8E">
              <w:rPr>
                <w:rFonts w:ascii="Abadi" w:hAnsi="Abadi" w:cstheme="minorHAnsi"/>
                <w:b/>
                <w:bCs/>
                <w:color w:val="FFFFFF" w:themeColor="background1"/>
                <w:sz w:val="20"/>
                <w:szCs w:val="20"/>
                <w:lang w:val="es-ES_tradnl"/>
              </w:rPr>
              <w:t xml:space="preserve">           </w:t>
            </w:r>
          </w:p>
        </w:tc>
      </w:tr>
      <w:tr w:rsidR="00D279D8" w:rsidRPr="00C80F8E" w14:paraId="61CC47AC" w14:textId="77777777" w:rsidTr="00DB69D9">
        <w:tc>
          <w:tcPr>
            <w:tcW w:w="4891" w:type="dxa"/>
            <w:vAlign w:val="bottom"/>
          </w:tcPr>
          <w:p w14:paraId="6B12A114" w14:textId="694095EE" w:rsidR="00D279D8" w:rsidRPr="00C80F8E" w:rsidRDefault="00D279D8" w:rsidP="00D279D8">
            <w:pPr>
              <w:jc w:val="both"/>
              <w:rPr>
                <w:rFonts w:ascii="Abadi" w:hAnsi="Abadi" w:cstheme="minorHAnsi"/>
                <w:sz w:val="20"/>
                <w:szCs w:val="20"/>
                <w:lang w:val="es-ES_tradnl"/>
              </w:rPr>
            </w:pPr>
            <w:r w:rsidRPr="00C80F8E">
              <w:rPr>
                <w:rFonts w:ascii="Abadi" w:hAnsi="Abadi" w:cstheme="minorHAnsi"/>
                <w:bCs/>
                <w:sz w:val="20"/>
                <w:szCs w:val="20"/>
                <w:lang w:val="es-ES_tradnl"/>
              </w:rPr>
              <w:t>Seguro de Vehículos</w:t>
            </w:r>
          </w:p>
        </w:tc>
        <w:tc>
          <w:tcPr>
            <w:tcW w:w="2268" w:type="dxa"/>
          </w:tcPr>
          <w:p w14:paraId="44BA59A0" w14:textId="73D5718E" w:rsidR="00D279D8" w:rsidRPr="00C80F8E" w:rsidRDefault="00DC1802"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207,963.96</w:t>
            </w:r>
          </w:p>
        </w:tc>
        <w:tc>
          <w:tcPr>
            <w:tcW w:w="2125" w:type="dxa"/>
          </w:tcPr>
          <w:p w14:paraId="3C0D358D" w14:textId="362E466E" w:rsidR="00D279D8" w:rsidRPr="00C80F8E" w:rsidRDefault="0039346A"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51</w:t>
            </w:r>
            <w:r w:rsidR="005D32D5" w:rsidRPr="00C80F8E">
              <w:rPr>
                <w:rFonts w:ascii="Abadi" w:hAnsi="Abadi" w:cstheme="minorHAnsi"/>
                <w:sz w:val="20"/>
                <w:szCs w:val="20"/>
                <w:lang w:val="es-ES_tradnl"/>
              </w:rPr>
              <w:t>,901.29</w:t>
            </w:r>
          </w:p>
        </w:tc>
      </w:tr>
      <w:tr w:rsidR="00D279D8" w:rsidRPr="00C80F8E" w14:paraId="03F9C943" w14:textId="77777777" w:rsidTr="00DB69D9">
        <w:tc>
          <w:tcPr>
            <w:tcW w:w="4891" w:type="dxa"/>
            <w:vAlign w:val="bottom"/>
          </w:tcPr>
          <w:p w14:paraId="48033DAA" w14:textId="13CF76F9"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Seguro Médico</w:t>
            </w:r>
          </w:p>
        </w:tc>
        <w:tc>
          <w:tcPr>
            <w:tcW w:w="2268" w:type="dxa"/>
          </w:tcPr>
          <w:p w14:paraId="3F616B4A" w14:textId="5764C899" w:rsidR="00D279D8" w:rsidRPr="00C80F8E" w:rsidRDefault="00B14461"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617,359.94</w:t>
            </w:r>
          </w:p>
        </w:tc>
        <w:tc>
          <w:tcPr>
            <w:tcW w:w="2125" w:type="dxa"/>
          </w:tcPr>
          <w:p w14:paraId="175DC922" w14:textId="1B93C654" w:rsidR="00D279D8" w:rsidRPr="00C80F8E" w:rsidRDefault="00C063BF"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234,219.73</w:t>
            </w:r>
          </w:p>
        </w:tc>
      </w:tr>
      <w:tr w:rsidR="00D279D8" w:rsidRPr="00C80F8E" w14:paraId="7091B61D" w14:textId="77777777" w:rsidTr="00DB69D9">
        <w:tc>
          <w:tcPr>
            <w:tcW w:w="4891" w:type="dxa"/>
            <w:vAlign w:val="bottom"/>
          </w:tcPr>
          <w:p w14:paraId="445493EB" w14:textId="31FF87D8"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Seguro Incendios y Líneas Aliadas Edificio</w:t>
            </w:r>
          </w:p>
        </w:tc>
        <w:tc>
          <w:tcPr>
            <w:tcW w:w="2268" w:type="dxa"/>
          </w:tcPr>
          <w:p w14:paraId="7BBB82B2" w14:textId="4EE8416D" w:rsidR="00D279D8" w:rsidRPr="00C80F8E" w:rsidRDefault="00B14461"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853,738.99</w:t>
            </w:r>
          </w:p>
        </w:tc>
        <w:tc>
          <w:tcPr>
            <w:tcW w:w="2125" w:type="dxa"/>
          </w:tcPr>
          <w:p w14:paraId="6391EF2E" w14:textId="25444896" w:rsidR="00D279D8" w:rsidRPr="00C80F8E" w:rsidRDefault="00C063BF"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207,549.82</w:t>
            </w:r>
          </w:p>
        </w:tc>
      </w:tr>
      <w:tr w:rsidR="00D279D8" w:rsidRPr="00C80F8E" w14:paraId="40C092C1" w14:textId="77777777" w:rsidTr="00DB69D9">
        <w:tc>
          <w:tcPr>
            <w:tcW w:w="4891" w:type="dxa"/>
            <w:vAlign w:val="bottom"/>
          </w:tcPr>
          <w:p w14:paraId="2A995C7C" w14:textId="513C09B7"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Seguro Incendio y Líneas Aliadas Mobiliario</w:t>
            </w:r>
          </w:p>
        </w:tc>
        <w:tc>
          <w:tcPr>
            <w:tcW w:w="2268" w:type="dxa"/>
          </w:tcPr>
          <w:p w14:paraId="587DD0D8" w14:textId="73CF8DCF" w:rsidR="00D279D8" w:rsidRPr="00C80F8E" w:rsidRDefault="00B14461"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244,419.05</w:t>
            </w:r>
          </w:p>
        </w:tc>
        <w:tc>
          <w:tcPr>
            <w:tcW w:w="2125" w:type="dxa"/>
          </w:tcPr>
          <w:p w14:paraId="6DC1D977" w14:textId="2D65E5A4" w:rsidR="00D279D8" w:rsidRPr="00C80F8E" w:rsidRDefault="00C063BF"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41,917.33</w:t>
            </w:r>
          </w:p>
        </w:tc>
      </w:tr>
      <w:tr w:rsidR="00D279D8" w:rsidRPr="00C80F8E" w14:paraId="74088F66" w14:textId="77777777" w:rsidTr="00DB69D9">
        <w:tc>
          <w:tcPr>
            <w:tcW w:w="4891" w:type="dxa"/>
            <w:vAlign w:val="bottom"/>
          </w:tcPr>
          <w:p w14:paraId="080213BF" w14:textId="483F33EC"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Seguro Equipos Electrónicos</w:t>
            </w:r>
          </w:p>
        </w:tc>
        <w:tc>
          <w:tcPr>
            <w:tcW w:w="2268" w:type="dxa"/>
          </w:tcPr>
          <w:p w14:paraId="52BC483F" w14:textId="7C8E0204" w:rsidR="00D279D8" w:rsidRPr="00C80F8E" w:rsidRDefault="00722E97"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261,538.48</w:t>
            </w:r>
          </w:p>
        </w:tc>
        <w:tc>
          <w:tcPr>
            <w:tcW w:w="2125" w:type="dxa"/>
          </w:tcPr>
          <w:p w14:paraId="1C2C8C21" w14:textId="3EA9CFEB" w:rsidR="00D279D8" w:rsidRPr="00C80F8E" w:rsidRDefault="003973A2"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63,581.76</w:t>
            </w:r>
          </w:p>
        </w:tc>
      </w:tr>
      <w:tr w:rsidR="00D279D8" w:rsidRPr="00C80F8E" w14:paraId="5E9795ED" w14:textId="77777777" w:rsidTr="00DB69D9">
        <w:tc>
          <w:tcPr>
            <w:tcW w:w="4891" w:type="dxa"/>
            <w:vAlign w:val="bottom"/>
          </w:tcPr>
          <w:p w14:paraId="5D97A1FB" w14:textId="0FC77B63"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Seguro Cristales</w:t>
            </w:r>
          </w:p>
        </w:tc>
        <w:tc>
          <w:tcPr>
            <w:tcW w:w="2268" w:type="dxa"/>
          </w:tcPr>
          <w:p w14:paraId="1D2DEFAE" w14:textId="46CC7B78" w:rsidR="00D279D8" w:rsidRPr="00C80F8E" w:rsidRDefault="00722E97"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81,352.79</w:t>
            </w:r>
          </w:p>
        </w:tc>
        <w:tc>
          <w:tcPr>
            <w:tcW w:w="2125" w:type="dxa"/>
          </w:tcPr>
          <w:p w14:paraId="0650A35B" w14:textId="01D8F1CE" w:rsidR="00D279D8" w:rsidRPr="00C80F8E" w:rsidRDefault="003973A2"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19,777.40</w:t>
            </w:r>
          </w:p>
        </w:tc>
      </w:tr>
      <w:tr w:rsidR="00D279D8" w:rsidRPr="00C80F8E" w14:paraId="1CD50B6C" w14:textId="77777777" w:rsidTr="00DB69D9">
        <w:tc>
          <w:tcPr>
            <w:tcW w:w="4891" w:type="dxa"/>
            <w:vAlign w:val="bottom"/>
          </w:tcPr>
          <w:p w14:paraId="737DAB8F" w14:textId="4C564F52"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Seguro Maquinaria</w:t>
            </w:r>
          </w:p>
        </w:tc>
        <w:tc>
          <w:tcPr>
            <w:tcW w:w="2268" w:type="dxa"/>
          </w:tcPr>
          <w:p w14:paraId="372B7CAB" w14:textId="5B9724BD" w:rsidR="00D279D8" w:rsidRPr="00C80F8E" w:rsidRDefault="00722E97"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91</w:t>
            </w:r>
            <w:r w:rsidR="007B5CA0" w:rsidRPr="00C80F8E">
              <w:rPr>
                <w:rFonts w:ascii="Abadi" w:hAnsi="Abadi" w:cstheme="minorHAnsi"/>
                <w:sz w:val="20"/>
                <w:szCs w:val="20"/>
                <w:lang w:val="es-ES_tradnl"/>
              </w:rPr>
              <w:t>,105.91</w:t>
            </w:r>
          </w:p>
        </w:tc>
        <w:tc>
          <w:tcPr>
            <w:tcW w:w="2125" w:type="dxa"/>
          </w:tcPr>
          <w:p w14:paraId="1A5A7F5E" w14:textId="581E39D7" w:rsidR="00D279D8" w:rsidRPr="00C80F8E" w:rsidRDefault="00160B41"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22,148.44</w:t>
            </w:r>
          </w:p>
        </w:tc>
      </w:tr>
      <w:tr w:rsidR="00D279D8" w:rsidRPr="00C80F8E" w14:paraId="32D17798" w14:textId="77777777" w:rsidTr="00DB69D9">
        <w:tc>
          <w:tcPr>
            <w:tcW w:w="4891" w:type="dxa"/>
            <w:vAlign w:val="bottom"/>
          </w:tcPr>
          <w:p w14:paraId="25575EA1" w14:textId="4BC34959"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Responsabilidad Civil General</w:t>
            </w:r>
          </w:p>
        </w:tc>
        <w:tc>
          <w:tcPr>
            <w:tcW w:w="2268" w:type="dxa"/>
          </w:tcPr>
          <w:p w14:paraId="23D5FEE9" w14:textId="0529C6A8" w:rsidR="00D279D8" w:rsidRPr="00C80F8E" w:rsidRDefault="00AA24E4"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394</w:t>
            </w:r>
            <w:r w:rsidR="005F790A" w:rsidRPr="00C80F8E">
              <w:rPr>
                <w:rFonts w:ascii="Abadi" w:hAnsi="Abadi" w:cstheme="minorHAnsi"/>
                <w:sz w:val="20"/>
                <w:szCs w:val="20"/>
                <w:lang w:val="es-ES_tradnl"/>
              </w:rPr>
              <w:t>,104.27</w:t>
            </w:r>
          </w:p>
        </w:tc>
        <w:tc>
          <w:tcPr>
            <w:tcW w:w="2125" w:type="dxa"/>
          </w:tcPr>
          <w:p w14:paraId="63A101DD" w14:textId="6678A3C1" w:rsidR="00D279D8" w:rsidRPr="00C80F8E" w:rsidRDefault="004F7FDB"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349,290.58</w:t>
            </w:r>
          </w:p>
        </w:tc>
      </w:tr>
      <w:tr w:rsidR="00D279D8" w:rsidRPr="00C80F8E" w14:paraId="7FE5A801" w14:textId="77777777" w:rsidTr="00DB69D9">
        <w:tc>
          <w:tcPr>
            <w:tcW w:w="4891" w:type="dxa"/>
            <w:vAlign w:val="bottom"/>
          </w:tcPr>
          <w:p w14:paraId="2D39B38B" w14:textId="1A3391C0"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Responsabilidad Civil Exceso</w:t>
            </w:r>
          </w:p>
        </w:tc>
        <w:tc>
          <w:tcPr>
            <w:tcW w:w="2268" w:type="dxa"/>
          </w:tcPr>
          <w:p w14:paraId="19A996C4" w14:textId="5DA34659" w:rsidR="00D279D8" w:rsidRPr="00C80F8E" w:rsidRDefault="005F790A"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31,900.00</w:t>
            </w:r>
          </w:p>
        </w:tc>
        <w:tc>
          <w:tcPr>
            <w:tcW w:w="2125" w:type="dxa"/>
          </w:tcPr>
          <w:p w14:paraId="1A09AAAE" w14:textId="5D2B5A8A" w:rsidR="00D279D8" w:rsidRPr="00C80F8E" w:rsidRDefault="003C3E26"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7,249.97</w:t>
            </w:r>
          </w:p>
        </w:tc>
      </w:tr>
      <w:tr w:rsidR="00D279D8" w:rsidRPr="00C80F8E" w14:paraId="1E0322B4" w14:textId="77777777" w:rsidTr="007D19C5">
        <w:tc>
          <w:tcPr>
            <w:tcW w:w="4891" w:type="dxa"/>
            <w:vAlign w:val="bottom"/>
          </w:tcPr>
          <w:p w14:paraId="4AF263A4" w14:textId="1EC7459D" w:rsidR="00D279D8" w:rsidRPr="00C80F8E" w:rsidRDefault="00D279D8" w:rsidP="00D279D8">
            <w:pPr>
              <w:jc w:val="both"/>
              <w:rPr>
                <w:rFonts w:ascii="Abadi" w:hAnsi="Abadi" w:cstheme="minorHAnsi"/>
                <w:bCs/>
                <w:sz w:val="20"/>
                <w:szCs w:val="20"/>
                <w:lang w:val="es-ES_tradnl"/>
              </w:rPr>
            </w:pPr>
            <w:r w:rsidRPr="00C80F8E">
              <w:rPr>
                <w:rFonts w:ascii="Abadi" w:hAnsi="Abadi" w:cstheme="minorHAnsi"/>
                <w:bCs/>
                <w:sz w:val="20"/>
                <w:szCs w:val="20"/>
                <w:lang w:val="es-ES_tradnl"/>
              </w:rPr>
              <w:t>Seguro Fidelidad 3D</w:t>
            </w:r>
          </w:p>
        </w:tc>
        <w:tc>
          <w:tcPr>
            <w:tcW w:w="2268" w:type="dxa"/>
            <w:tcBorders>
              <w:bottom w:val="single" w:sz="12" w:space="0" w:color="auto"/>
            </w:tcBorders>
          </w:tcPr>
          <w:p w14:paraId="4FE56AB6" w14:textId="59A6F511" w:rsidR="00D279D8" w:rsidRPr="00C80F8E" w:rsidRDefault="005F790A"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31,900.00</w:t>
            </w:r>
          </w:p>
        </w:tc>
        <w:tc>
          <w:tcPr>
            <w:tcW w:w="2125" w:type="dxa"/>
            <w:tcBorders>
              <w:bottom w:val="single" w:sz="12" w:space="0" w:color="auto"/>
            </w:tcBorders>
          </w:tcPr>
          <w:p w14:paraId="2F3BA3AE" w14:textId="66823D22" w:rsidR="00D279D8" w:rsidRPr="00C80F8E" w:rsidRDefault="003C3E26" w:rsidP="00D279D8">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7</w:t>
            </w:r>
            <w:r w:rsidR="009C1F74" w:rsidRPr="00C80F8E">
              <w:rPr>
                <w:rFonts w:ascii="Abadi" w:hAnsi="Abadi" w:cstheme="minorHAnsi"/>
                <w:sz w:val="20"/>
                <w:szCs w:val="20"/>
                <w:lang w:val="es-ES_tradnl"/>
              </w:rPr>
              <w:t>,</w:t>
            </w:r>
            <w:r w:rsidRPr="00C80F8E">
              <w:rPr>
                <w:rFonts w:ascii="Abadi" w:hAnsi="Abadi" w:cstheme="minorHAnsi"/>
                <w:sz w:val="20"/>
                <w:szCs w:val="20"/>
                <w:lang w:val="es-ES_tradnl"/>
              </w:rPr>
              <w:t>249.97</w:t>
            </w:r>
          </w:p>
        </w:tc>
      </w:tr>
      <w:tr w:rsidR="00185196" w:rsidRPr="00C80F8E" w14:paraId="79CFA157" w14:textId="77777777" w:rsidTr="003F6175">
        <w:tc>
          <w:tcPr>
            <w:tcW w:w="4891" w:type="dxa"/>
            <w:shd w:val="clear" w:color="auto" w:fill="FFFFFF" w:themeFill="background1"/>
            <w:vAlign w:val="bottom"/>
          </w:tcPr>
          <w:p w14:paraId="3B08D10F" w14:textId="2BEE442B" w:rsidR="00185196" w:rsidRPr="00C80F8E" w:rsidRDefault="0046203B" w:rsidP="00BB7A0A">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de Otros Activos Corrientes</w:t>
            </w:r>
          </w:p>
        </w:tc>
        <w:tc>
          <w:tcPr>
            <w:tcW w:w="2268" w:type="dxa"/>
            <w:tcBorders>
              <w:top w:val="single" w:sz="12" w:space="0" w:color="auto"/>
              <w:bottom w:val="double" w:sz="4" w:space="0" w:color="auto"/>
            </w:tcBorders>
            <w:shd w:val="clear" w:color="auto" w:fill="FFFFFF" w:themeFill="background1"/>
            <w:vAlign w:val="bottom"/>
          </w:tcPr>
          <w:p w14:paraId="5C48F9B3" w14:textId="3CD8D6FA" w:rsidR="00185196" w:rsidRPr="00C80F8E" w:rsidRDefault="006F16E9" w:rsidP="00BB7A0A">
            <w:pPr>
              <w:jc w:val="right"/>
              <w:rPr>
                <w:rFonts w:ascii="Abadi" w:hAnsi="Abadi" w:cstheme="minorHAnsi"/>
                <w:b/>
                <w:bCs/>
                <w:sz w:val="20"/>
                <w:szCs w:val="20"/>
                <w:lang w:val="es-ES_tradnl"/>
              </w:rPr>
            </w:pPr>
            <w:r w:rsidRPr="00C80F8E">
              <w:rPr>
                <w:rFonts w:ascii="Abadi" w:hAnsi="Abadi" w:cstheme="minorHAnsi"/>
                <w:b/>
                <w:bCs/>
                <w:sz w:val="20"/>
                <w:szCs w:val="20"/>
                <w:lang w:val="es-ES_tradnl"/>
              </w:rPr>
              <w:t>2,815,383.39</w:t>
            </w:r>
          </w:p>
        </w:tc>
        <w:tc>
          <w:tcPr>
            <w:tcW w:w="2125" w:type="dxa"/>
            <w:tcBorders>
              <w:top w:val="single" w:sz="12" w:space="0" w:color="auto"/>
              <w:bottom w:val="double" w:sz="4" w:space="0" w:color="auto"/>
            </w:tcBorders>
            <w:shd w:val="clear" w:color="auto" w:fill="FFFFFF" w:themeFill="background1"/>
            <w:vAlign w:val="bottom"/>
          </w:tcPr>
          <w:p w14:paraId="76A02C47" w14:textId="1615E0B2" w:rsidR="00DA281F" w:rsidRPr="00C80F8E" w:rsidRDefault="002D0609" w:rsidP="00DA281F">
            <w:pPr>
              <w:jc w:val="right"/>
              <w:rPr>
                <w:rFonts w:ascii="Abadi" w:hAnsi="Abadi" w:cstheme="minorHAnsi"/>
                <w:b/>
                <w:bCs/>
                <w:sz w:val="20"/>
                <w:szCs w:val="20"/>
                <w:lang w:val="es-ES_tradnl"/>
              </w:rPr>
            </w:pPr>
            <w:r w:rsidRPr="00C80F8E">
              <w:rPr>
                <w:rFonts w:ascii="Abadi" w:hAnsi="Abadi" w:cstheme="minorHAnsi"/>
                <w:b/>
                <w:bCs/>
                <w:sz w:val="20"/>
                <w:szCs w:val="20"/>
                <w:lang w:val="es-ES_tradnl"/>
              </w:rPr>
              <w:t>1,004,886.29</w:t>
            </w:r>
          </w:p>
        </w:tc>
      </w:tr>
    </w:tbl>
    <w:p w14:paraId="1C55D251" w14:textId="77777777" w:rsidR="0038564B" w:rsidRDefault="0038564B" w:rsidP="00A22E02">
      <w:pPr>
        <w:spacing w:line="240" w:lineRule="auto"/>
        <w:contextualSpacing/>
        <w:rPr>
          <w:rFonts w:ascii="Abadi" w:hAnsi="Abadi" w:cstheme="minorHAnsi"/>
          <w:b/>
          <w:sz w:val="16"/>
          <w:szCs w:val="16"/>
          <w:lang w:val="es-ES_tradnl"/>
        </w:rPr>
      </w:pPr>
    </w:p>
    <w:p w14:paraId="44ACD5E2" w14:textId="77777777" w:rsidR="005405D7" w:rsidRDefault="005405D7" w:rsidP="00A22E02">
      <w:pPr>
        <w:spacing w:line="240" w:lineRule="auto"/>
        <w:contextualSpacing/>
        <w:rPr>
          <w:rFonts w:ascii="Abadi" w:hAnsi="Abadi" w:cstheme="minorHAnsi"/>
          <w:b/>
          <w:sz w:val="16"/>
          <w:szCs w:val="16"/>
          <w:lang w:val="es-ES_tradnl"/>
        </w:rPr>
      </w:pPr>
    </w:p>
    <w:p w14:paraId="5CDFA959" w14:textId="77777777" w:rsidR="005405D7" w:rsidRDefault="005405D7" w:rsidP="00A22E02">
      <w:pPr>
        <w:spacing w:line="240" w:lineRule="auto"/>
        <w:contextualSpacing/>
        <w:rPr>
          <w:rFonts w:ascii="Abadi" w:hAnsi="Abadi" w:cstheme="minorHAnsi"/>
          <w:b/>
          <w:sz w:val="16"/>
          <w:szCs w:val="16"/>
          <w:lang w:val="es-ES_tradnl"/>
        </w:rPr>
      </w:pPr>
    </w:p>
    <w:p w14:paraId="7A175F25" w14:textId="77777777" w:rsidR="005405D7" w:rsidRPr="00C80F8E" w:rsidRDefault="005405D7" w:rsidP="00A22E02">
      <w:pPr>
        <w:spacing w:line="240" w:lineRule="auto"/>
        <w:contextualSpacing/>
        <w:rPr>
          <w:rFonts w:ascii="Abadi" w:hAnsi="Abadi" w:cstheme="minorHAnsi"/>
          <w:b/>
          <w:sz w:val="16"/>
          <w:szCs w:val="16"/>
          <w:lang w:val="es-ES_tradnl"/>
        </w:rPr>
      </w:pPr>
    </w:p>
    <w:p w14:paraId="63703E18" w14:textId="26D692ED" w:rsidR="00DC02D3" w:rsidRPr="00C80F8E" w:rsidRDefault="002421D1" w:rsidP="00A7606E">
      <w:pPr>
        <w:pStyle w:val="Prrafodelista"/>
        <w:numPr>
          <w:ilvl w:val="1"/>
          <w:numId w:val="1"/>
        </w:numPr>
        <w:ind w:left="426"/>
        <w:rPr>
          <w:rFonts w:ascii="Abadi" w:hAnsi="Abadi" w:cstheme="minorHAnsi"/>
          <w:b/>
          <w:sz w:val="20"/>
          <w:szCs w:val="20"/>
          <w:lang w:val="es-ES_tradnl"/>
        </w:rPr>
      </w:pPr>
      <w:r w:rsidRPr="00C80F8E">
        <w:rPr>
          <w:rFonts w:ascii="Abadi" w:hAnsi="Abadi" w:cstheme="minorHAnsi"/>
          <w:b/>
          <w:sz w:val="20"/>
          <w:szCs w:val="20"/>
          <w:lang w:val="es-ES_tradnl"/>
        </w:rPr>
        <w:lastRenderedPageBreak/>
        <w:t>Cuotas Internacionales</w:t>
      </w:r>
    </w:p>
    <w:p w14:paraId="7EE47C84" w14:textId="77777777" w:rsidR="000B5929" w:rsidRPr="00C80F8E" w:rsidRDefault="000B5929" w:rsidP="000B5929">
      <w:pPr>
        <w:ind w:left="66"/>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saldo correspondiente a cuotas internacionales pagadas por adelantado ascendió a RD$1,563,994.50, en comparación con RD$862,687.50 registrados al 30 de junio de 2024. Esta diferencia representa un incremento absoluto de RD$701,307.00 y una variación relativa positiva de 81.29%.</w:t>
      </w:r>
    </w:p>
    <w:p w14:paraId="640B1A6C" w14:textId="271E858E" w:rsidR="00DC02D3" w:rsidRPr="00C80F8E" w:rsidRDefault="000B5929" w:rsidP="000B5929">
      <w:pPr>
        <w:ind w:left="66"/>
        <w:jc w:val="both"/>
        <w:rPr>
          <w:rFonts w:ascii="Abadi" w:hAnsi="Abadi" w:cstheme="minorHAnsi"/>
          <w:bCs/>
          <w:sz w:val="20"/>
          <w:szCs w:val="20"/>
          <w:lang w:val="es-ES_tradnl"/>
        </w:rPr>
      </w:pPr>
      <w:r w:rsidRPr="00C80F8E">
        <w:rPr>
          <w:rFonts w:ascii="Abadi" w:hAnsi="Abadi" w:cstheme="minorHAnsi"/>
          <w:bCs/>
          <w:sz w:val="20"/>
          <w:szCs w:val="20"/>
          <w:lang w:val="es-ES_tradnl"/>
        </w:rPr>
        <w:t>Dicho incremento refleja el cumplimiento anticipado de compromisos institucionales con organismos internacionales como la Asociación Iberoamericana de Organismos de Seguridad Social (AIOS) y la Organización Iberoamericana de Seguridad Social (OISS), correspondientes al período anual 2025.</w:t>
      </w:r>
      <w:r w:rsidR="00DC02D3" w:rsidRPr="00C80F8E">
        <w:rPr>
          <w:rFonts w:ascii="Abadi" w:hAnsi="Abadi" w:cstheme="minorHAnsi"/>
          <w:bCs/>
          <w:sz w:val="20"/>
          <w:szCs w:val="20"/>
          <w:lang w:val="es-ES_tradnl"/>
        </w:rPr>
        <w:t>, es como sigue:</w:t>
      </w:r>
    </w:p>
    <w:tbl>
      <w:tblPr>
        <w:tblStyle w:val="Tablaconcuadrcula"/>
        <w:tblW w:w="0" w:type="auto"/>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91"/>
        <w:gridCol w:w="2268"/>
        <w:gridCol w:w="2125"/>
      </w:tblGrid>
      <w:tr w:rsidR="00DC02D3" w:rsidRPr="00C80F8E" w14:paraId="2CA7073B" w14:textId="77777777" w:rsidTr="009B7664">
        <w:tc>
          <w:tcPr>
            <w:tcW w:w="4891" w:type="dxa"/>
            <w:shd w:val="clear" w:color="auto" w:fill="0070C0"/>
            <w:vAlign w:val="bottom"/>
          </w:tcPr>
          <w:p w14:paraId="19019D2B" w14:textId="77777777" w:rsidR="00DC02D3" w:rsidRPr="00C80F8E" w:rsidRDefault="00DC02D3" w:rsidP="009B766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vAlign w:val="bottom"/>
          </w:tcPr>
          <w:p w14:paraId="6DF73EBA" w14:textId="77777777" w:rsidR="00DC02D3" w:rsidRPr="00C80F8E" w:rsidRDefault="00DC02D3" w:rsidP="009B766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2025</w:t>
            </w:r>
          </w:p>
        </w:tc>
        <w:tc>
          <w:tcPr>
            <w:tcW w:w="2125" w:type="dxa"/>
            <w:shd w:val="clear" w:color="auto" w:fill="0070C0"/>
            <w:vAlign w:val="bottom"/>
          </w:tcPr>
          <w:p w14:paraId="412E6A0B" w14:textId="77777777" w:rsidR="00DC02D3" w:rsidRPr="00C80F8E" w:rsidRDefault="00DC02D3" w:rsidP="009B766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 xml:space="preserve">      2024           </w:t>
            </w:r>
          </w:p>
        </w:tc>
      </w:tr>
      <w:tr w:rsidR="00E554B6" w:rsidRPr="00C80F8E" w14:paraId="59667AFA" w14:textId="77777777" w:rsidTr="005535BB">
        <w:tc>
          <w:tcPr>
            <w:tcW w:w="4891" w:type="dxa"/>
          </w:tcPr>
          <w:p w14:paraId="1ECD371B" w14:textId="27A2C58E" w:rsidR="00E554B6" w:rsidRPr="00C80F8E" w:rsidRDefault="00E554B6" w:rsidP="00E554B6">
            <w:pPr>
              <w:jc w:val="both"/>
              <w:rPr>
                <w:rFonts w:ascii="Abadi" w:hAnsi="Abadi" w:cstheme="minorHAnsi"/>
                <w:sz w:val="20"/>
                <w:szCs w:val="20"/>
                <w:lang w:val="es-ES_tradnl"/>
              </w:rPr>
            </w:pPr>
            <w:r w:rsidRPr="00C80F8E">
              <w:rPr>
                <w:lang w:val="es-ES_tradnl"/>
              </w:rPr>
              <w:t>AIOS 2025</w:t>
            </w:r>
          </w:p>
        </w:tc>
        <w:tc>
          <w:tcPr>
            <w:tcW w:w="2268" w:type="dxa"/>
          </w:tcPr>
          <w:p w14:paraId="41C7C406" w14:textId="0682E2BF" w:rsidR="00E554B6" w:rsidRPr="00C80F8E" w:rsidRDefault="00E554B6" w:rsidP="00E554B6">
            <w:pPr>
              <w:contextualSpacing/>
              <w:jc w:val="right"/>
              <w:rPr>
                <w:rFonts w:ascii="Abadi" w:hAnsi="Abadi" w:cstheme="minorHAnsi"/>
                <w:sz w:val="20"/>
                <w:szCs w:val="20"/>
                <w:lang w:val="es-ES_tradnl"/>
              </w:rPr>
            </w:pPr>
            <w:r w:rsidRPr="00C80F8E">
              <w:rPr>
                <w:lang w:val="es-ES_tradnl"/>
              </w:rPr>
              <w:t>232,500.00</w:t>
            </w:r>
          </w:p>
        </w:tc>
        <w:tc>
          <w:tcPr>
            <w:tcW w:w="2125" w:type="dxa"/>
          </w:tcPr>
          <w:p w14:paraId="27B80361" w14:textId="17847E4B" w:rsidR="00E554B6" w:rsidRPr="00C80F8E" w:rsidRDefault="006E78F5" w:rsidP="00E554B6">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442</w:t>
            </w:r>
            <w:r w:rsidR="007D316E" w:rsidRPr="00C80F8E">
              <w:rPr>
                <w:rFonts w:ascii="Abadi" w:hAnsi="Abadi" w:cstheme="minorHAnsi"/>
                <w:sz w:val="20"/>
                <w:szCs w:val="20"/>
                <w:lang w:val="es-ES_tradnl"/>
              </w:rPr>
              <w:t>,</w:t>
            </w:r>
            <w:r w:rsidRPr="00C80F8E">
              <w:rPr>
                <w:rFonts w:ascii="Abadi" w:hAnsi="Abadi" w:cstheme="minorHAnsi"/>
                <w:sz w:val="20"/>
                <w:szCs w:val="20"/>
                <w:lang w:val="es-ES_tradnl"/>
              </w:rPr>
              <w:t>875</w:t>
            </w:r>
            <w:r w:rsidR="007D316E" w:rsidRPr="00C80F8E">
              <w:rPr>
                <w:rFonts w:ascii="Abadi" w:hAnsi="Abadi" w:cstheme="minorHAnsi"/>
                <w:sz w:val="20"/>
                <w:szCs w:val="20"/>
                <w:lang w:val="es-ES_tradnl"/>
              </w:rPr>
              <w:t>.00</w:t>
            </w:r>
          </w:p>
        </w:tc>
      </w:tr>
      <w:tr w:rsidR="00E554B6" w:rsidRPr="00C80F8E" w14:paraId="54261D74" w14:textId="77777777" w:rsidTr="005535BB">
        <w:tc>
          <w:tcPr>
            <w:tcW w:w="4891" w:type="dxa"/>
          </w:tcPr>
          <w:p w14:paraId="4B88A163" w14:textId="2A819069" w:rsidR="00E554B6" w:rsidRPr="00C80F8E" w:rsidRDefault="00E554B6" w:rsidP="00E554B6">
            <w:pPr>
              <w:jc w:val="both"/>
              <w:rPr>
                <w:rFonts w:ascii="Abadi" w:hAnsi="Abadi" w:cstheme="minorHAnsi"/>
                <w:bCs/>
                <w:sz w:val="20"/>
                <w:szCs w:val="20"/>
                <w:lang w:val="es-ES_tradnl"/>
              </w:rPr>
            </w:pPr>
            <w:r w:rsidRPr="00C80F8E">
              <w:rPr>
                <w:lang w:val="es-ES_tradnl"/>
              </w:rPr>
              <w:t>OISS 2025</w:t>
            </w:r>
          </w:p>
        </w:tc>
        <w:tc>
          <w:tcPr>
            <w:tcW w:w="2268" w:type="dxa"/>
          </w:tcPr>
          <w:p w14:paraId="53A42144" w14:textId="6641666B" w:rsidR="00E554B6" w:rsidRPr="00C80F8E" w:rsidRDefault="00E554B6" w:rsidP="00E554B6">
            <w:pPr>
              <w:contextualSpacing/>
              <w:jc w:val="right"/>
              <w:rPr>
                <w:rFonts w:ascii="Abadi" w:hAnsi="Abadi" w:cstheme="minorHAnsi"/>
                <w:sz w:val="20"/>
                <w:szCs w:val="20"/>
                <w:lang w:val="es-ES_tradnl"/>
              </w:rPr>
            </w:pPr>
            <w:r w:rsidRPr="00C80F8E">
              <w:rPr>
                <w:lang w:val="es-ES_tradnl"/>
              </w:rPr>
              <w:t>204,600.00</w:t>
            </w:r>
          </w:p>
        </w:tc>
        <w:tc>
          <w:tcPr>
            <w:tcW w:w="2125" w:type="dxa"/>
          </w:tcPr>
          <w:p w14:paraId="5A9D006C" w14:textId="48D2D6FD" w:rsidR="007D316E" w:rsidRPr="00C80F8E" w:rsidRDefault="003843A1" w:rsidP="007D316E">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419,812.50</w:t>
            </w:r>
          </w:p>
        </w:tc>
      </w:tr>
      <w:tr w:rsidR="00E554B6" w:rsidRPr="00C80F8E" w14:paraId="1FCD3094" w14:textId="77777777" w:rsidTr="005535BB">
        <w:tc>
          <w:tcPr>
            <w:tcW w:w="4891" w:type="dxa"/>
          </w:tcPr>
          <w:p w14:paraId="5544CC66" w14:textId="478DCBFC" w:rsidR="00E554B6" w:rsidRPr="00C80F8E" w:rsidRDefault="00E554B6" w:rsidP="00E554B6">
            <w:pPr>
              <w:jc w:val="both"/>
              <w:rPr>
                <w:rFonts w:ascii="Abadi" w:hAnsi="Abadi" w:cstheme="minorHAnsi"/>
                <w:bCs/>
                <w:sz w:val="20"/>
                <w:szCs w:val="20"/>
                <w:lang w:val="es-ES_tradnl"/>
              </w:rPr>
            </w:pPr>
            <w:r w:rsidRPr="00C80F8E">
              <w:rPr>
                <w:lang w:val="es-ES_tradnl"/>
              </w:rPr>
              <w:t>IOPS 2025</w:t>
            </w:r>
          </w:p>
        </w:tc>
        <w:tc>
          <w:tcPr>
            <w:tcW w:w="2268" w:type="dxa"/>
          </w:tcPr>
          <w:p w14:paraId="4B62360D" w14:textId="7602F713" w:rsidR="00E554B6" w:rsidRPr="00C80F8E" w:rsidRDefault="00E554B6" w:rsidP="00E554B6">
            <w:pPr>
              <w:contextualSpacing/>
              <w:jc w:val="right"/>
              <w:rPr>
                <w:rFonts w:ascii="Abadi" w:hAnsi="Abadi" w:cstheme="minorHAnsi"/>
                <w:sz w:val="20"/>
                <w:szCs w:val="20"/>
                <w:lang w:val="es-ES_tradnl"/>
              </w:rPr>
            </w:pPr>
            <w:r w:rsidRPr="00C80F8E">
              <w:rPr>
                <w:lang w:val="es-ES_tradnl"/>
              </w:rPr>
              <w:t>442,200.00</w:t>
            </w:r>
          </w:p>
        </w:tc>
        <w:tc>
          <w:tcPr>
            <w:tcW w:w="2125" w:type="dxa"/>
          </w:tcPr>
          <w:p w14:paraId="11C07820" w14:textId="6C8E284B" w:rsidR="00E554B6" w:rsidRPr="00C80F8E" w:rsidRDefault="007D316E" w:rsidP="00E554B6">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E554B6" w:rsidRPr="00C80F8E" w14:paraId="48EDAA62" w14:textId="77777777" w:rsidTr="00B50764">
        <w:tc>
          <w:tcPr>
            <w:tcW w:w="4891" w:type="dxa"/>
          </w:tcPr>
          <w:p w14:paraId="1DCD6626" w14:textId="25D75319" w:rsidR="00E554B6" w:rsidRPr="00C80F8E" w:rsidRDefault="00E554B6" w:rsidP="00E554B6">
            <w:pPr>
              <w:jc w:val="both"/>
              <w:rPr>
                <w:rFonts w:ascii="Abadi" w:hAnsi="Abadi" w:cstheme="minorHAnsi"/>
                <w:bCs/>
                <w:sz w:val="20"/>
                <w:szCs w:val="20"/>
                <w:lang w:val="es-ES_tradnl"/>
              </w:rPr>
            </w:pPr>
            <w:r w:rsidRPr="00C80F8E">
              <w:rPr>
                <w:lang w:val="es-ES_tradnl"/>
              </w:rPr>
              <w:t>CISS 2025</w:t>
            </w:r>
          </w:p>
        </w:tc>
        <w:tc>
          <w:tcPr>
            <w:tcW w:w="2268" w:type="dxa"/>
            <w:tcBorders>
              <w:bottom w:val="single" w:sz="4" w:space="0" w:color="auto"/>
            </w:tcBorders>
          </w:tcPr>
          <w:p w14:paraId="6BD4851C" w14:textId="6ACD9CCB" w:rsidR="00E554B6" w:rsidRPr="00C80F8E" w:rsidRDefault="00E554B6" w:rsidP="00E554B6">
            <w:pPr>
              <w:contextualSpacing/>
              <w:jc w:val="right"/>
              <w:rPr>
                <w:rFonts w:ascii="Abadi" w:hAnsi="Abadi" w:cstheme="minorHAnsi"/>
                <w:sz w:val="20"/>
                <w:szCs w:val="20"/>
                <w:lang w:val="es-ES_tradnl"/>
              </w:rPr>
            </w:pPr>
            <w:r w:rsidRPr="00C80F8E">
              <w:rPr>
                <w:lang w:val="es-ES_tradnl"/>
              </w:rPr>
              <w:t>231,934.50</w:t>
            </w:r>
          </w:p>
        </w:tc>
        <w:tc>
          <w:tcPr>
            <w:tcW w:w="2125" w:type="dxa"/>
            <w:tcBorders>
              <w:bottom w:val="single" w:sz="4" w:space="0" w:color="auto"/>
            </w:tcBorders>
          </w:tcPr>
          <w:p w14:paraId="5303840C" w14:textId="7AEACA1A" w:rsidR="00E554B6" w:rsidRPr="00C80F8E" w:rsidRDefault="00533584" w:rsidP="00E554B6">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E554B6" w:rsidRPr="00C80F8E" w14:paraId="4D84F643" w14:textId="77777777" w:rsidTr="00B50764">
        <w:tc>
          <w:tcPr>
            <w:tcW w:w="4891" w:type="dxa"/>
          </w:tcPr>
          <w:p w14:paraId="2CCFBF56" w14:textId="509BA3AC" w:rsidR="00E554B6" w:rsidRPr="00C80F8E" w:rsidRDefault="00E554B6" w:rsidP="00E554B6">
            <w:pPr>
              <w:jc w:val="both"/>
              <w:rPr>
                <w:rFonts w:ascii="Abadi" w:hAnsi="Abadi" w:cstheme="minorHAnsi"/>
                <w:bCs/>
                <w:sz w:val="20"/>
                <w:szCs w:val="20"/>
                <w:lang w:val="es-ES_tradnl"/>
              </w:rPr>
            </w:pPr>
            <w:r w:rsidRPr="00C80F8E">
              <w:rPr>
                <w:lang w:val="es-ES_tradnl"/>
              </w:rPr>
              <w:t>AISS 2025</w:t>
            </w:r>
          </w:p>
        </w:tc>
        <w:tc>
          <w:tcPr>
            <w:tcW w:w="2268" w:type="dxa"/>
            <w:tcBorders>
              <w:top w:val="single" w:sz="4" w:space="0" w:color="auto"/>
              <w:bottom w:val="single" w:sz="12" w:space="0" w:color="auto"/>
            </w:tcBorders>
          </w:tcPr>
          <w:p w14:paraId="38EC1272" w14:textId="6D05128D" w:rsidR="00E554B6" w:rsidRPr="00C80F8E" w:rsidRDefault="00E554B6" w:rsidP="00E554B6">
            <w:pPr>
              <w:contextualSpacing/>
              <w:jc w:val="right"/>
              <w:rPr>
                <w:rFonts w:ascii="Abadi" w:hAnsi="Abadi" w:cstheme="minorHAnsi"/>
                <w:sz w:val="20"/>
                <w:szCs w:val="20"/>
                <w:lang w:val="es-ES_tradnl"/>
              </w:rPr>
            </w:pPr>
            <w:r w:rsidRPr="00C80F8E">
              <w:rPr>
                <w:lang w:val="es-ES_tradnl"/>
              </w:rPr>
              <w:t>452,760.00</w:t>
            </w:r>
          </w:p>
        </w:tc>
        <w:tc>
          <w:tcPr>
            <w:tcW w:w="2125" w:type="dxa"/>
            <w:tcBorders>
              <w:top w:val="single" w:sz="4" w:space="0" w:color="auto"/>
              <w:bottom w:val="single" w:sz="12" w:space="0" w:color="auto"/>
            </w:tcBorders>
          </w:tcPr>
          <w:p w14:paraId="538C6ED6" w14:textId="6B5EF126" w:rsidR="00E554B6" w:rsidRPr="00C80F8E" w:rsidRDefault="00533584" w:rsidP="00E554B6">
            <w:pPr>
              <w:contextualSpacing/>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DC02D3" w:rsidRPr="00C80F8E" w14:paraId="7546CD78" w14:textId="77777777" w:rsidTr="00A34070">
        <w:tc>
          <w:tcPr>
            <w:tcW w:w="4891" w:type="dxa"/>
            <w:shd w:val="clear" w:color="auto" w:fill="FFFFFF" w:themeFill="background1"/>
            <w:vAlign w:val="bottom"/>
          </w:tcPr>
          <w:p w14:paraId="0597BA9D" w14:textId="77777777" w:rsidR="00DC02D3" w:rsidRPr="00C80F8E" w:rsidRDefault="00DC02D3" w:rsidP="009B7664">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de Otros Activos Corrientes</w:t>
            </w:r>
          </w:p>
        </w:tc>
        <w:tc>
          <w:tcPr>
            <w:tcW w:w="2268" w:type="dxa"/>
            <w:tcBorders>
              <w:top w:val="single" w:sz="12" w:space="0" w:color="auto"/>
              <w:bottom w:val="double" w:sz="4" w:space="0" w:color="auto"/>
            </w:tcBorders>
            <w:shd w:val="clear" w:color="auto" w:fill="FFFFFF" w:themeFill="background1"/>
            <w:vAlign w:val="bottom"/>
          </w:tcPr>
          <w:p w14:paraId="28DEBCED" w14:textId="470D0103" w:rsidR="00DC02D3" w:rsidRPr="00C80F8E" w:rsidRDefault="00DB5A3E" w:rsidP="009B7664">
            <w:pPr>
              <w:jc w:val="right"/>
              <w:rPr>
                <w:rFonts w:ascii="Abadi" w:hAnsi="Abadi" w:cstheme="minorHAnsi"/>
                <w:b/>
                <w:bCs/>
                <w:sz w:val="20"/>
                <w:szCs w:val="20"/>
                <w:u w:val="double"/>
                <w:lang w:val="es-ES_tradnl"/>
              </w:rPr>
            </w:pPr>
            <w:r w:rsidRPr="00C80F8E">
              <w:rPr>
                <w:rFonts w:ascii="Abadi" w:hAnsi="Abadi" w:cstheme="minorHAnsi"/>
                <w:b/>
                <w:bCs/>
                <w:sz w:val="20"/>
                <w:szCs w:val="20"/>
                <w:u w:val="double"/>
                <w:lang w:val="es-ES_tradnl"/>
              </w:rPr>
              <w:t>1,563,994.50</w:t>
            </w:r>
          </w:p>
        </w:tc>
        <w:tc>
          <w:tcPr>
            <w:tcW w:w="2125" w:type="dxa"/>
            <w:tcBorders>
              <w:top w:val="single" w:sz="12" w:space="0" w:color="auto"/>
              <w:bottom w:val="double" w:sz="4" w:space="0" w:color="auto"/>
            </w:tcBorders>
            <w:shd w:val="clear" w:color="auto" w:fill="FFFFFF" w:themeFill="background1"/>
            <w:vAlign w:val="bottom"/>
          </w:tcPr>
          <w:p w14:paraId="0402AA2A" w14:textId="390F8A46" w:rsidR="00DC02D3" w:rsidRPr="00C80F8E" w:rsidRDefault="000D561F" w:rsidP="009B7664">
            <w:pPr>
              <w:jc w:val="right"/>
              <w:rPr>
                <w:rFonts w:ascii="Abadi" w:hAnsi="Abadi" w:cstheme="minorHAnsi"/>
                <w:b/>
                <w:bCs/>
                <w:sz w:val="20"/>
                <w:szCs w:val="20"/>
                <w:u w:val="double"/>
                <w:lang w:val="es-ES_tradnl"/>
              </w:rPr>
            </w:pPr>
            <w:r w:rsidRPr="00C80F8E">
              <w:rPr>
                <w:rFonts w:ascii="Abadi" w:hAnsi="Abadi" w:cstheme="minorHAnsi"/>
                <w:b/>
                <w:bCs/>
                <w:sz w:val="20"/>
                <w:szCs w:val="20"/>
                <w:u w:val="double"/>
                <w:lang w:val="es-ES_tradnl"/>
              </w:rPr>
              <w:t>862,687.50</w:t>
            </w:r>
          </w:p>
        </w:tc>
      </w:tr>
    </w:tbl>
    <w:p w14:paraId="74D7D093" w14:textId="77777777" w:rsidR="005F0E3F" w:rsidRPr="00C80F8E" w:rsidRDefault="005F0E3F" w:rsidP="00B572DB">
      <w:pPr>
        <w:rPr>
          <w:rFonts w:ascii="Abadi" w:hAnsi="Abadi" w:cstheme="minorHAnsi"/>
          <w:bCs/>
          <w:sz w:val="20"/>
          <w:szCs w:val="20"/>
          <w:lang w:val="es-ES_tradnl"/>
        </w:rPr>
      </w:pPr>
    </w:p>
    <w:p w14:paraId="4FE097B9" w14:textId="77777777" w:rsidR="00106389" w:rsidRPr="00C80F8E" w:rsidRDefault="00106389" w:rsidP="00B572DB">
      <w:pPr>
        <w:rPr>
          <w:rFonts w:ascii="Abadi" w:hAnsi="Abadi" w:cstheme="minorHAnsi"/>
          <w:bCs/>
          <w:sz w:val="20"/>
          <w:szCs w:val="20"/>
          <w:lang w:val="es-ES_tradnl"/>
        </w:rPr>
      </w:pPr>
    </w:p>
    <w:p w14:paraId="67C536D9" w14:textId="417F746A" w:rsidR="00BE199E" w:rsidRPr="00C80F8E" w:rsidRDefault="00BE199E" w:rsidP="00B572DB">
      <w:pPr>
        <w:rPr>
          <w:rFonts w:ascii="Abadi" w:hAnsi="Abadi" w:cstheme="minorHAnsi"/>
          <w:bCs/>
          <w:sz w:val="20"/>
          <w:szCs w:val="20"/>
          <w:lang w:val="es-ES_tradnl"/>
        </w:rPr>
        <w:sectPr w:rsidR="00BE199E" w:rsidRPr="00C80F8E" w:rsidSect="00F43B68">
          <w:headerReference w:type="even" r:id="rId11"/>
          <w:headerReference w:type="default" r:id="rId12"/>
          <w:footerReference w:type="even" r:id="rId13"/>
          <w:footerReference w:type="default" r:id="rId14"/>
          <w:footerReference w:type="first" r:id="rId15"/>
          <w:pgSz w:w="12240" w:h="15840" w:code="1"/>
          <w:pgMar w:top="1440" w:right="1440" w:bottom="1440" w:left="1440" w:header="284" w:footer="680" w:gutter="0"/>
          <w:pgNumType w:start="5" w:chapStyle="1"/>
          <w:cols w:space="720"/>
          <w:titlePg/>
          <w:docGrid w:linePitch="360"/>
        </w:sectPr>
      </w:pPr>
    </w:p>
    <w:p w14:paraId="5527689D" w14:textId="77777777" w:rsidR="001B6097" w:rsidRPr="00C80F8E" w:rsidRDefault="001B6097" w:rsidP="001B6097">
      <w:pPr>
        <w:pStyle w:val="Prrafodelista"/>
        <w:ind w:left="-76"/>
        <w:rPr>
          <w:rFonts w:ascii="Abadi" w:hAnsi="Abadi" w:cstheme="minorHAnsi"/>
          <w:b/>
          <w:sz w:val="20"/>
          <w:szCs w:val="20"/>
          <w:lang w:val="es-ES_tradnl"/>
        </w:rPr>
      </w:pPr>
    </w:p>
    <w:p w14:paraId="13D622AA" w14:textId="4BAA08FB" w:rsidR="002F1745" w:rsidRPr="00C80F8E" w:rsidRDefault="004C5484" w:rsidP="00A7606E">
      <w:pPr>
        <w:pStyle w:val="Prrafodelista"/>
        <w:numPr>
          <w:ilvl w:val="0"/>
          <w:numId w:val="1"/>
        </w:numPr>
        <w:ind w:left="-142" w:firstLine="66"/>
        <w:rPr>
          <w:rFonts w:ascii="Abadi" w:hAnsi="Abadi" w:cstheme="minorHAnsi"/>
          <w:b/>
          <w:sz w:val="20"/>
          <w:szCs w:val="20"/>
          <w:lang w:val="es-ES_tradnl"/>
        </w:rPr>
      </w:pPr>
      <w:r w:rsidRPr="00C80F8E">
        <w:rPr>
          <w:rFonts w:ascii="Abadi" w:hAnsi="Abadi" w:cstheme="minorHAnsi"/>
          <w:b/>
          <w:sz w:val="20"/>
          <w:szCs w:val="20"/>
          <w:lang w:val="es-ES_tradnl"/>
        </w:rPr>
        <w:t>Propiedad, planta y equipo neto</w:t>
      </w:r>
    </w:p>
    <w:p w14:paraId="52C72FA3" w14:textId="78F49A17" w:rsidR="00A0591A" w:rsidRPr="00C80F8E" w:rsidRDefault="00A0591A" w:rsidP="00100489">
      <w:pPr>
        <w:pStyle w:val="Prrafodelista"/>
        <w:ind w:left="-76"/>
        <w:rPr>
          <w:rFonts w:ascii="Abadi" w:hAnsi="Abadi" w:cstheme="minorHAnsi"/>
          <w:b/>
          <w:sz w:val="20"/>
          <w:szCs w:val="20"/>
          <w:lang w:val="es-ES_tradnl"/>
        </w:rPr>
      </w:pPr>
      <w:r w:rsidRPr="00C80F8E">
        <w:rPr>
          <w:rFonts w:ascii="Abadi" w:hAnsi="Abadi" w:cstheme="minorHAnsi"/>
          <w:bCs/>
          <w:sz w:val="20"/>
          <w:szCs w:val="20"/>
          <w:lang w:val="es-ES_tradnl"/>
        </w:rPr>
        <w:t xml:space="preserve">El movimiento de la propiedad, planta y equipos y depreciación acumulada al </w:t>
      </w:r>
      <w:r w:rsidR="008F6A4A" w:rsidRPr="00C80F8E">
        <w:rPr>
          <w:rFonts w:ascii="Abadi" w:hAnsi="Abadi" w:cstheme="minorHAnsi"/>
          <w:sz w:val="20"/>
          <w:szCs w:val="20"/>
          <w:lang w:val="es-ES_tradnl"/>
        </w:rPr>
        <w:t>3</w:t>
      </w:r>
      <w:r w:rsidR="006540A1" w:rsidRPr="00C80F8E">
        <w:rPr>
          <w:rFonts w:ascii="Abadi" w:hAnsi="Abadi" w:cstheme="minorHAnsi"/>
          <w:sz w:val="20"/>
          <w:szCs w:val="20"/>
          <w:lang w:val="es-ES_tradnl"/>
        </w:rPr>
        <w:t>0</w:t>
      </w:r>
      <w:r w:rsidR="008F6A4A" w:rsidRPr="00C80F8E">
        <w:rPr>
          <w:rFonts w:ascii="Abadi" w:hAnsi="Abadi" w:cstheme="minorHAnsi"/>
          <w:sz w:val="20"/>
          <w:szCs w:val="20"/>
          <w:lang w:val="es-ES_tradnl"/>
        </w:rPr>
        <w:t xml:space="preserve"> de </w:t>
      </w:r>
      <w:r w:rsidR="006540A1" w:rsidRPr="00C80F8E">
        <w:rPr>
          <w:rFonts w:ascii="Abadi" w:hAnsi="Abadi" w:cstheme="minorHAnsi"/>
          <w:sz w:val="20"/>
          <w:szCs w:val="20"/>
          <w:lang w:val="es-ES_tradnl"/>
        </w:rPr>
        <w:t>junio</w:t>
      </w:r>
      <w:r w:rsidR="008F6A4A" w:rsidRPr="00C80F8E">
        <w:rPr>
          <w:rFonts w:ascii="Abadi" w:hAnsi="Abadi" w:cstheme="minorHAnsi"/>
          <w:sz w:val="20"/>
          <w:szCs w:val="20"/>
          <w:lang w:val="es-ES_tradnl"/>
        </w:rPr>
        <w:t xml:space="preserve"> </w:t>
      </w:r>
      <w:r w:rsidRPr="00C80F8E">
        <w:rPr>
          <w:rFonts w:ascii="Abadi" w:hAnsi="Abadi" w:cstheme="minorHAnsi"/>
          <w:bCs/>
          <w:sz w:val="20"/>
          <w:szCs w:val="20"/>
          <w:lang w:val="es-ES_tradnl"/>
        </w:rPr>
        <w:t xml:space="preserve">de </w:t>
      </w:r>
      <w:r w:rsidR="006540A1" w:rsidRPr="00C80F8E">
        <w:rPr>
          <w:rFonts w:ascii="Abadi" w:hAnsi="Abadi" w:cstheme="minorHAnsi"/>
          <w:bCs/>
          <w:sz w:val="20"/>
          <w:szCs w:val="20"/>
          <w:lang w:val="es-ES_tradnl"/>
        </w:rPr>
        <w:t>2025</w:t>
      </w:r>
      <w:r w:rsidRPr="00C80F8E">
        <w:rPr>
          <w:rFonts w:ascii="Abadi" w:hAnsi="Abadi" w:cstheme="minorHAnsi"/>
          <w:bCs/>
          <w:sz w:val="20"/>
          <w:szCs w:val="20"/>
          <w:lang w:val="es-ES_tradnl"/>
        </w:rPr>
        <w:t xml:space="preserve"> es como sigue: </w:t>
      </w:r>
    </w:p>
    <w:tbl>
      <w:tblPr>
        <w:tblStyle w:val="Tablaconcuadrcula"/>
        <w:tblW w:w="15120" w:type="dxa"/>
        <w:tblInd w:w="-289" w:type="dxa"/>
        <w:tblLayout w:type="fixed"/>
        <w:tblLook w:val="04A0" w:firstRow="1" w:lastRow="0" w:firstColumn="1" w:lastColumn="0" w:noHBand="0" w:noVBand="1"/>
      </w:tblPr>
      <w:tblGrid>
        <w:gridCol w:w="1568"/>
        <w:gridCol w:w="1410"/>
        <w:gridCol w:w="1562"/>
        <w:gridCol w:w="1562"/>
        <w:gridCol w:w="1562"/>
        <w:gridCol w:w="1562"/>
        <w:gridCol w:w="1562"/>
        <w:gridCol w:w="1454"/>
        <w:gridCol w:w="1409"/>
        <w:gridCol w:w="1469"/>
      </w:tblGrid>
      <w:tr w:rsidR="00A473BD" w:rsidRPr="00C80F8E" w14:paraId="3443376A" w14:textId="77777777" w:rsidTr="00A473BD">
        <w:trPr>
          <w:trHeight w:val="459"/>
        </w:trPr>
        <w:tc>
          <w:tcPr>
            <w:tcW w:w="1568" w:type="dxa"/>
            <w:shd w:val="clear" w:color="auto" w:fill="0070C0"/>
            <w:vAlign w:val="center"/>
          </w:tcPr>
          <w:p w14:paraId="7D172C41" w14:textId="77777777"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Descripción</w:t>
            </w:r>
          </w:p>
        </w:tc>
        <w:tc>
          <w:tcPr>
            <w:tcW w:w="1410" w:type="dxa"/>
            <w:shd w:val="clear" w:color="auto" w:fill="0070C0"/>
            <w:vAlign w:val="center"/>
          </w:tcPr>
          <w:p w14:paraId="7D09B40B" w14:textId="77777777"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Terreno</w:t>
            </w:r>
          </w:p>
        </w:tc>
        <w:tc>
          <w:tcPr>
            <w:tcW w:w="1562" w:type="dxa"/>
            <w:shd w:val="clear" w:color="auto" w:fill="0070C0"/>
            <w:vAlign w:val="center"/>
          </w:tcPr>
          <w:p w14:paraId="784D02B4" w14:textId="77777777"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Edificaciones Y Componente</w:t>
            </w:r>
          </w:p>
        </w:tc>
        <w:tc>
          <w:tcPr>
            <w:tcW w:w="1562" w:type="dxa"/>
            <w:shd w:val="clear" w:color="auto" w:fill="0070C0"/>
            <w:vAlign w:val="center"/>
          </w:tcPr>
          <w:p w14:paraId="69F18485" w14:textId="6334A0EE"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Mobiliarios y Equipos Oficinas</w:t>
            </w:r>
          </w:p>
        </w:tc>
        <w:tc>
          <w:tcPr>
            <w:tcW w:w="1562" w:type="dxa"/>
            <w:shd w:val="clear" w:color="auto" w:fill="0070C0"/>
            <w:vAlign w:val="center"/>
          </w:tcPr>
          <w:p w14:paraId="2D21E89D" w14:textId="05397FBC"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 xml:space="preserve">Equipo </w:t>
            </w:r>
            <w:r w:rsidR="00990563" w:rsidRPr="00C80F8E">
              <w:rPr>
                <w:rFonts w:ascii="Abadi" w:hAnsi="Abadi" w:cstheme="minorHAnsi"/>
                <w:b/>
                <w:color w:val="FFFFFF" w:themeColor="background1"/>
                <w:sz w:val="16"/>
                <w:szCs w:val="16"/>
                <w:lang w:val="es-ES_tradnl"/>
              </w:rPr>
              <w:t>cómputos</w:t>
            </w:r>
          </w:p>
        </w:tc>
        <w:tc>
          <w:tcPr>
            <w:tcW w:w="1562" w:type="dxa"/>
            <w:shd w:val="clear" w:color="auto" w:fill="0070C0"/>
            <w:vAlign w:val="center"/>
          </w:tcPr>
          <w:p w14:paraId="112D36EF" w14:textId="13BCCC36"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Equipos de Transporte y Otros</w:t>
            </w:r>
          </w:p>
        </w:tc>
        <w:tc>
          <w:tcPr>
            <w:tcW w:w="1562" w:type="dxa"/>
            <w:shd w:val="clear" w:color="auto" w:fill="0070C0"/>
            <w:vAlign w:val="center"/>
          </w:tcPr>
          <w:p w14:paraId="3D6DA535" w14:textId="6C0B8654" w:rsidR="00A473BD" w:rsidRPr="00C80F8E" w:rsidRDefault="00A473BD" w:rsidP="008A4033">
            <w:pPr>
              <w:jc w:val="center"/>
              <w:rPr>
                <w:rFonts w:ascii="Abadi" w:hAnsi="Abadi" w:cstheme="minorHAnsi"/>
                <w:b/>
                <w:color w:val="FFFFFF" w:themeColor="background1"/>
                <w:sz w:val="16"/>
                <w:szCs w:val="16"/>
                <w:lang w:val="es-ES_tradnl"/>
              </w:rPr>
            </w:pPr>
            <w:proofErr w:type="spellStart"/>
            <w:r w:rsidRPr="00C80F8E">
              <w:rPr>
                <w:rFonts w:ascii="Abadi" w:hAnsi="Abadi" w:cstheme="minorHAnsi"/>
                <w:b/>
                <w:color w:val="FFFFFF" w:themeColor="background1"/>
                <w:sz w:val="16"/>
                <w:szCs w:val="16"/>
                <w:lang w:val="es-ES_tradnl"/>
              </w:rPr>
              <w:t>Maq</w:t>
            </w:r>
            <w:proofErr w:type="spellEnd"/>
            <w:r w:rsidRPr="00C80F8E">
              <w:rPr>
                <w:rFonts w:ascii="Abadi" w:hAnsi="Abadi" w:cstheme="minorHAnsi"/>
                <w:b/>
                <w:color w:val="FFFFFF" w:themeColor="background1"/>
                <w:sz w:val="16"/>
                <w:szCs w:val="16"/>
                <w:lang w:val="es-ES_tradnl"/>
              </w:rPr>
              <w:t>. y Equipos (*)</w:t>
            </w:r>
          </w:p>
        </w:tc>
        <w:tc>
          <w:tcPr>
            <w:tcW w:w="1454" w:type="dxa"/>
            <w:shd w:val="clear" w:color="auto" w:fill="0070C0"/>
            <w:vAlign w:val="center"/>
          </w:tcPr>
          <w:p w14:paraId="58F2C087" w14:textId="77777777"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Obra de Arte</w:t>
            </w:r>
          </w:p>
        </w:tc>
        <w:tc>
          <w:tcPr>
            <w:tcW w:w="1409" w:type="dxa"/>
            <w:shd w:val="clear" w:color="auto" w:fill="0070C0"/>
            <w:vAlign w:val="center"/>
          </w:tcPr>
          <w:p w14:paraId="73D0DF25" w14:textId="77777777"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Const. En Proceso</w:t>
            </w:r>
          </w:p>
        </w:tc>
        <w:tc>
          <w:tcPr>
            <w:tcW w:w="1469" w:type="dxa"/>
            <w:shd w:val="clear" w:color="auto" w:fill="0070C0"/>
            <w:vAlign w:val="center"/>
          </w:tcPr>
          <w:p w14:paraId="2F0D820F" w14:textId="77777777" w:rsidR="00A473BD" w:rsidRPr="00C80F8E" w:rsidRDefault="00A473BD" w:rsidP="008A4033">
            <w:pPr>
              <w:jc w:val="center"/>
              <w:rPr>
                <w:rFonts w:ascii="Abadi" w:hAnsi="Abadi" w:cstheme="minorHAnsi"/>
                <w:b/>
                <w:color w:val="FFFFFF" w:themeColor="background1"/>
                <w:sz w:val="16"/>
                <w:szCs w:val="16"/>
                <w:lang w:val="es-ES_tradnl"/>
              </w:rPr>
            </w:pPr>
            <w:r w:rsidRPr="00C80F8E">
              <w:rPr>
                <w:rFonts w:ascii="Abadi" w:hAnsi="Abadi" w:cstheme="minorHAnsi"/>
                <w:b/>
                <w:color w:val="FFFFFF" w:themeColor="background1"/>
                <w:sz w:val="16"/>
                <w:szCs w:val="16"/>
                <w:lang w:val="es-ES_tradnl"/>
              </w:rPr>
              <w:t>Total</w:t>
            </w:r>
          </w:p>
        </w:tc>
      </w:tr>
      <w:tr w:rsidR="00A473BD" w:rsidRPr="00C80F8E" w14:paraId="17A25BE8" w14:textId="77777777" w:rsidTr="00A473BD">
        <w:trPr>
          <w:trHeight w:val="337"/>
        </w:trPr>
        <w:tc>
          <w:tcPr>
            <w:tcW w:w="1568" w:type="dxa"/>
            <w:vAlign w:val="bottom"/>
          </w:tcPr>
          <w:p w14:paraId="11B1BFAB" w14:textId="77777777" w:rsidR="00A473BD" w:rsidRPr="00C80F8E" w:rsidRDefault="00A473BD" w:rsidP="008A4033">
            <w:pPr>
              <w:rPr>
                <w:rFonts w:ascii="Abadi" w:hAnsi="Abadi" w:cstheme="minorHAnsi"/>
                <w:b/>
                <w:sz w:val="16"/>
                <w:szCs w:val="16"/>
                <w:lang w:val="es-ES_tradnl"/>
              </w:rPr>
            </w:pPr>
            <w:r w:rsidRPr="00C80F8E">
              <w:rPr>
                <w:rFonts w:ascii="Abadi" w:hAnsi="Abadi" w:cstheme="minorHAnsi"/>
                <w:b/>
                <w:sz w:val="16"/>
                <w:szCs w:val="16"/>
                <w:lang w:val="es-ES_tradnl"/>
              </w:rPr>
              <w:t xml:space="preserve">Costo Adquisición </w:t>
            </w:r>
          </w:p>
        </w:tc>
        <w:tc>
          <w:tcPr>
            <w:tcW w:w="1410" w:type="dxa"/>
            <w:vAlign w:val="bottom"/>
          </w:tcPr>
          <w:p w14:paraId="6B12B4A5"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fldChar w:fldCharType="begin"/>
            </w:r>
            <w:r w:rsidRPr="00C80F8E">
              <w:rPr>
                <w:rFonts w:ascii="Abadi" w:hAnsi="Abadi" w:cstheme="minorHAnsi"/>
                <w:b/>
                <w:sz w:val="16"/>
                <w:szCs w:val="16"/>
                <w:lang w:val="es-ES_tradnl"/>
              </w:rPr>
              <w:instrText xml:space="preserve"> =SUM(b8;B14) \# "#,##0.00" </w:instrText>
            </w:r>
            <w:r w:rsidRPr="00C80F8E">
              <w:rPr>
                <w:rFonts w:ascii="Abadi" w:hAnsi="Abadi" w:cstheme="minorHAnsi"/>
                <w:b/>
                <w:sz w:val="16"/>
                <w:szCs w:val="16"/>
                <w:lang w:val="es-ES_tradnl"/>
              </w:rPr>
              <w:fldChar w:fldCharType="separate"/>
            </w:r>
            <w:r w:rsidRPr="00C80F8E">
              <w:rPr>
                <w:rFonts w:ascii="Abadi" w:hAnsi="Abadi" w:cstheme="minorHAnsi"/>
                <w:b/>
                <w:noProof/>
                <w:sz w:val="16"/>
                <w:szCs w:val="16"/>
                <w:lang w:val="es-ES_tradnl"/>
              </w:rPr>
              <w:t>35,297,293.88</w:t>
            </w:r>
            <w:r w:rsidRPr="00C80F8E">
              <w:rPr>
                <w:rFonts w:ascii="Abadi" w:hAnsi="Abadi" w:cstheme="minorHAnsi"/>
                <w:b/>
                <w:sz w:val="16"/>
                <w:szCs w:val="16"/>
                <w:lang w:val="es-ES_tradnl"/>
              </w:rPr>
              <w:fldChar w:fldCharType="end"/>
            </w:r>
          </w:p>
        </w:tc>
        <w:tc>
          <w:tcPr>
            <w:tcW w:w="1562" w:type="dxa"/>
            <w:vAlign w:val="bottom"/>
          </w:tcPr>
          <w:p w14:paraId="47A9209E"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87,017,827.49</w:t>
            </w:r>
          </w:p>
        </w:tc>
        <w:tc>
          <w:tcPr>
            <w:tcW w:w="1562" w:type="dxa"/>
            <w:vAlign w:val="bottom"/>
          </w:tcPr>
          <w:p w14:paraId="18BDA87F" w14:textId="6DF0057D" w:rsidR="00A473BD" w:rsidRPr="00C80F8E" w:rsidRDefault="00596266" w:rsidP="008A4033">
            <w:pPr>
              <w:jc w:val="right"/>
              <w:rPr>
                <w:rFonts w:ascii="Abadi" w:hAnsi="Abadi" w:cstheme="minorHAnsi"/>
                <w:b/>
                <w:sz w:val="16"/>
                <w:szCs w:val="16"/>
                <w:lang w:val="es-ES_tradnl"/>
              </w:rPr>
            </w:pPr>
            <w:r>
              <w:rPr>
                <w:rFonts w:ascii="Abadi" w:hAnsi="Abadi" w:cstheme="minorHAnsi"/>
                <w:b/>
                <w:sz w:val="16"/>
                <w:szCs w:val="16"/>
                <w:lang w:val="es-ES_tradnl"/>
              </w:rPr>
              <w:t>22,223,566.36</w:t>
            </w:r>
          </w:p>
        </w:tc>
        <w:tc>
          <w:tcPr>
            <w:tcW w:w="1562" w:type="dxa"/>
            <w:vAlign w:val="bottom"/>
          </w:tcPr>
          <w:p w14:paraId="1F8EF94E" w14:textId="41D29181" w:rsidR="00A473BD" w:rsidRPr="00C80F8E" w:rsidRDefault="00C7633B" w:rsidP="008A4033">
            <w:pPr>
              <w:jc w:val="right"/>
              <w:rPr>
                <w:rFonts w:ascii="Abadi" w:hAnsi="Abadi" w:cstheme="minorHAnsi"/>
                <w:b/>
                <w:sz w:val="16"/>
                <w:szCs w:val="16"/>
                <w:lang w:val="es-ES_tradnl"/>
              </w:rPr>
            </w:pPr>
            <w:r>
              <w:rPr>
                <w:rFonts w:ascii="Abadi" w:hAnsi="Abadi" w:cstheme="minorHAnsi"/>
                <w:b/>
                <w:sz w:val="16"/>
                <w:szCs w:val="16"/>
                <w:lang w:val="es-ES_tradnl"/>
              </w:rPr>
              <w:t>34,804,986.70</w:t>
            </w:r>
          </w:p>
        </w:tc>
        <w:tc>
          <w:tcPr>
            <w:tcW w:w="1562" w:type="dxa"/>
            <w:vAlign w:val="bottom"/>
          </w:tcPr>
          <w:p w14:paraId="4FA0F539" w14:textId="4CF2EDB0"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4,737,366.12</w:t>
            </w:r>
          </w:p>
        </w:tc>
        <w:tc>
          <w:tcPr>
            <w:tcW w:w="1562" w:type="dxa"/>
            <w:vAlign w:val="bottom"/>
          </w:tcPr>
          <w:p w14:paraId="3E551ED9" w14:textId="7AFD8D76" w:rsidR="00A473BD" w:rsidRPr="00C80F8E" w:rsidRDefault="00E42EAF" w:rsidP="008A4033">
            <w:pPr>
              <w:jc w:val="right"/>
              <w:rPr>
                <w:rFonts w:ascii="Abadi" w:hAnsi="Abadi" w:cstheme="minorHAnsi"/>
                <w:b/>
                <w:sz w:val="16"/>
                <w:szCs w:val="16"/>
                <w:lang w:val="es-ES_tradnl"/>
              </w:rPr>
            </w:pPr>
            <w:r>
              <w:rPr>
                <w:rFonts w:ascii="Abadi" w:hAnsi="Abadi" w:cstheme="minorHAnsi"/>
                <w:b/>
                <w:sz w:val="16"/>
                <w:szCs w:val="16"/>
                <w:lang w:val="es-ES_tradnl"/>
              </w:rPr>
              <w:t>20,365,305.27</w:t>
            </w:r>
          </w:p>
        </w:tc>
        <w:tc>
          <w:tcPr>
            <w:tcW w:w="1454" w:type="dxa"/>
            <w:vAlign w:val="bottom"/>
          </w:tcPr>
          <w:p w14:paraId="56629115" w14:textId="76DED9E5"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2,597,09</w:t>
            </w:r>
            <w:r w:rsidR="00415498">
              <w:rPr>
                <w:rFonts w:ascii="Abadi" w:hAnsi="Abadi" w:cstheme="minorHAnsi"/>
                <w:b/>
                <w:sz w:val="16"/>
                <w:szCs w:val="16"/>
                <w:lang w:val="es-ES_tradnl"/>
              </w:rPr>
              <w:t>2</w:t>
            </w:r>
            <w:r w:rsidRPr="00C80F8E">
              <w:rPr>
                <w:rFonts w:ascii="Abadi" w:hAnsi="Abadi" w:cstheme="minorHAnsi"/>
                <w:b/>
                <w:sz w:val="16"/>
                <w:szCs w:val="16"/>
                <w:lang w:val="es-ES_tradnl"/>
              </w:rPr>
              <w:t>.</w:t>
            </w:r>
            <w:r w:rsidR="00415498">
              <w:rPr>
                <w:rFonts w:ascii="Abadi" w:hAnsi="Abadi" w:cstheme="minorHAnsi"/>
                <w:b/>
                <w:sz w:val="16"/>
                <w:szCs w:val="16"/>
                <w:lang w:val="es-ES_tradnl"/>
              </w:rPr>
              <w:t>97</w:t>
            </w:r>
          </w:p>
        </w:tc>
        <w:tc>
          <w:tcPr>
            <w:tcW w:w="1409" w:type="dxa"/>
            <w:vAlign w:val="bottom"/>
          </w:tcPr>
          <w:p w14:paraId="1E64A92C" w14:textId="38F35EC8" w:rsidR="00A473BD" w:rsidRPr="00C80F8E" w:rsidRDefault="00415498" w:rsidP="008A4033">
            <w:pPr>
              <w:jc w:val="right"/>
              <w:rPr>
                <w:rFonts w:ascii="Abadi" w:hAnsi="Abadi" w:cstheme="minorHAnsi"/>
                <w:b/>
                <w:sz w:val="16"/>
                <w:szCs w:val="16"/>
                <w:lang w:val="es-ES_tradnl"/>
              </w:rPr>
            </w:pPr>
            <w:r>
              <w:rPr>
                <w:rFonts w:ascii="Abadi" w:hAnsi="Abadi" w:cstheme="minorHAnsi"/>
                <w:b/>
                <w:sz w:val="16"/>
                <w:szCs w:val="16"/>
                <w:lang w:val="es-ES_tradnl"/>
              </w:rPr>
              <w:t>34549443.42</w:t>
            </w:r>
          </w:p>
        </w:tc>
        <w:tc>
          <w:tcPr>
            <w:tcW w:w="1469" w:type="dxa"/>
            <w:vAlign w:val="bottom"/>
          </w:tcPr>
          <w:p w14:paraId="16BACEF5" w14:textId="4F0952A8" w:rsidR="00A473BD" w:rsidRPr="00C80F8E" w:rsidRDefault="00371D7C" w:rsidP="008A4033">
            <w:pPr>
              <w:jc w:val="right"/>
              <w:rPr>
                <w:rFonts w:ascii="Abadi" w:hAnsi="Abadi" w:cstheme="minorHAnsi"/>
                <w:b/>
                <w:sz w:val="16"/>
                <w:szCs w:val="16"/>
                <w:lang w:val="es-ES_tradnl"/>
              </w:rPr>
            </w:pPr>
            <w:r>
              <w:rPr>
                <w:rFonts w:ascii="Abadi" w:hAnsi="Abadi" w:cstheme="minorHAnsi"/>
                <w:b/>
                <w:sz w:val="16"/>
                <w:szCs w:val="16"/>
                <w:lang w:val="es-ES_tradnl"/>
              </w:rPr>
              <w:t>241,592,882.33</w:t>
            </w:r>
          </w:p>
        </w:tc>
      </w:tr>
      <w:tr w:rsidR="00A473BD" w:rsidRPr="00C80F8E" w14:paraId="4759ECC8" w14:textId="77777777" w:rsidTr="00A473BD">
        <w:trPr>
          <w:trHeight w:val="109"/>
        </w:trPr>
        <w:tc>
          <w:tcPr>
            <w:tcW w:w="1568" w:type="dxa"/>
          </w:tcPr>
          <w:p w14:paraId="4AAC9106"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Adiciones</w:t>
            </w:r>
          </w:p>
        </w:tc>
        <w:tc>
          <w:tcPr>
            <w:tcW w:w="1410" w:type="dxa"/>
            <w:vAlign w:val="bottom"/>
          </w:tcPr>
          <w:p w14:paraId="5944606E"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2F344037" w14:textId="61556BC3"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8,043,946.46</w:t>
            </w:r>
          </w:p>
        </w:tc>
        <w:tc>
          <w:tcPr>
            <w:tcW w:w="1562" w:type="dxa"/>
            <w:vAlign w:val="bottom"/>
          </w:tcPr>
          <w:p w14:paraId="74AF224F" w14:textId="27F49C55" w:rsidR="00A473BD" w:rsidRPr="00C80F8E" w:rsidRDefault="00596266" w:rsidP="008A4033">
            <w:pPr>
              <w:jc w:val="right"/>
              <w:rPr>
                <w:rFonts w:ascii="Abadi" w:hAnsi="Abadi" w:cstheme="minorHAnsi"/>
                <w:bCs/>
                <w:sz w:val="16"/>
                <w:szCs w:val="16"/>
                <w:lang w:val="es-ES_tradnl"/>
              </w:rPr>
            </w:pPr>
            <w:r>
              <w:rPr>
                <w:rFonts w:ascii="Abadi" w:hAnsi="Abadi" w:cstheme="minorHAnsi"/>
                <w:bCs/>
                <w:sz w:val="16"/>
                <w:szCs w:val="16"/>
                <w:lang w:val="es-ES_tradnl"/>
              </w:rPr>
              <w:t>0.00</w:t>
            </w:r>
          </w:p>
        </w:tc>
        <w:tc>
          <w:tcPr>
            <w:tcW w:w="1562" w:type="dxa"/>
            <w:vAlign w:val="bottom"/>
          </w:tcPr>
          <w:p w14:paraId="0022119F" w14:textId="188972E5" w:rsidR="00A473BD" w:rsidRPr="00C80F8E" w:rsidRDefault="00C7633B" w:rsidP="008A4033">
            <w:pPr>
              <w:jc w:val="right"/>
              <w:rPr>
                <w:rFonts w:ascii="Abadi" w:hAnsi="Abadi" w:cstheme="minorHAnsi"/>
                <w:bCs/>
                <w:sz w:val="16"/>
                <w:szCs w:val="16"/>
                <w:lang w:val="es-ES_tradnl"/>
              </w:rPr>
            </w:pPr>
            <w:r>
              <w:rPr>
                <w:rFonts w:ascii="Abadi" w:hAnsi="Abadi" w:cstheme="minorHAnsi"/>
                <w:bCs/>
                <w:sz w:val="16"/>
                <w:szCs w:val="16"/>
                <w:lang w:val="es-ES_tradnl"/>
              </w:rPr>
              <w:t>6,523,748.14</w:t>
            </w:r>
          </w:p>
        </w:tc>
        <w:tc>
          <w:tcPr>
            <w:tcW w:w="1562" w:type="dxa"/>
            <w:vAlign w:val="bottom"/>
          </w:tcPr>
          <w:p w14:paraId="61C67E01" w14:textId="1E954A03"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0290592C" w14:textId="3ABFF772" w:rsidR="00A473BD" w:rsidRPr="00C80F8E" w:rsidRDefault="004854D3" w:rsidP="008A4033">
            <w:pPr>
              <w:jc w:val="right"/>
              <w:rPr>
                <w:rFonts w:ascii="Abadi" w:hAnsi="Abadi" w:cstheme="minorHAnsi"/>
                <w:bCs/>
                <w:sz w:val="16"/>
                <w:szCs w:val="16"/>
                <w:lang w:val="es-ES_tradnl"/>
              </w:rPr>
            </w:pPr>
            <w:r>
              <w:rPr>
                <w:rFonts w:ascii="Abadi" w:hAnsi="Abadi" w:cstheme="minorHAnsi"/>
                <w:bCs/>
                <w:sz w:val="16"/>
                <w:szCs w:val="16"/>
                <w:lang w:val="es-ES_tradnl"/>
              </w:rPr>
              <w:t>6,096,408.36</w:t>
            </w:r>
          </w:p>
        </w:tc>
        <w:tc>
          <w:tcPr>
            <w:tcW w:w="1454" w:type="dxa"/>
            <w:vAlign w:val="bottom"/>
          </w:tcPr>
          <w:p w14:paraId="1D0EBD5B" w14:textId="75FFFB3E"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vAlign w:val="bottom"/>
          </w:tcPr>
          <w:p w14:paraId="59831C15" w14:textId="54E21963" w:rsidR="00A473BD" w:rsidRPr="00C80F8E" w:rsidRDefault="00415498" w:rsidP="008A4033">
            <w:pPr>
              <w:jc w:val="right"/>
              <w:rPr>
                <w:rFonts w:ascii="Abadi" w:hAnsi="Abadi" w:cstheme="minorHAnsi"/>
                <w:bCs/>
                <w:sz w:val="16"/>
                <w:szCs w:val="16"/>
                <w:lang w:val="es-ES_tradnl"/>
              </w:rPr>
            </w:pPr>
            <w:r>
              <w:rPr>
                <w:rFonts w:ascii="Abadi" w:hAnsi="Abadi" w:cstheme="minorHAnsi"/>
                <w:bCs/>
                <w:sz w:val="16"/>
                <w:szCs w:val="16"/>
                <w:lang w:val="es-ES_tradnl"/>
              </w:rPr>
              <w:t>3,229,966.08</w:t>
            </w:r>
          </w:p>
        </w:tc>
        <w:tc>
          <w:tcPr>
            <w:tcW w:w="1469" w:type="dxa"/>
            <w:vAlign w:val="bottom"/>
          </w:tcPr>
          <w:p w14:paraId="15D92B2C" w14:textId="5D455C8A" w:rsidR="00A473BD" w:rsidRPr="00C80F8E" w:rsidRDefault="00371D7C" w:rsidP="008A4033">
            <w:pPr>
              <w:jc w:val="right"/>
              <w:rPr>
                <w:rFonts w:ascii="Abadi" w:hAnsi="Abadi" w:cstheme="minorHAnsi"/>
                <w:b/>
                <w:color w:val="000000"/>
                <w:sz w:val="16"/>
                <w:szCs w:val="16"/>
                <w:lang w:val="es-ES_tradnl"/>
              </w:rPr>
            </w:pPr>
            <w:r>
              <w:rPr>
                <w:rFonts w:ascii="Abadi" w:hAnsi="Abadi" w:cstheme="minorHAnsi"/>
                <w:b/>
                <w:color w:val="000000"/>
                <w:sz w:val="16"/>
                <w:szCs w:val="16"/>
                <w:lang w:val="es-ES_tradnl"/>
              </w:rPr>
              <w:t>20,894,069.04</w:t>
            </w:r>
          </w:p>
        </w:tc>
      </w:tr>
      <w:tr w:rsidR="00A473BD" w:rsidRPr="00C80F8E" w14:paraId="4FFB15CB" w14:textId="77777777" w:rsidTr="00A473BD">
        <w:trPr>
          <w:trHeight w:val="109"/>
        </w:trPr>
        <w:tc>
          <w:tcPr>
            <w:tcW w:w="1568" w:type="dxa"/>
          </w:tcPr>
          <w:p w14:paraId="5FDD9E87"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Superávit revaluación</w:t>
            </w:r>
          </w:p>
        </w:tc>
        <w:tc>
          <w:tcPr>
            <w:tcW w:w="1410" w:type="dxa"/>
            <w:vAlign w:val="bottom"/>
          </w:tcPr>
          <w:p w14:paraId="54179422"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279AB631"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74F8FEEC" w14:textId="2D354EA4"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67BE83CB" w14:textId="78B6078F"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4B38ECF0" w14:textId="60451D18"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754C4778" w14:textId="0FF87F50"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54" w:type="dxa"/>
            <w:vAlign w:val="bottom"/>
          </w:tcPr>
          <w:p w14:paraId="2B93A393"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vAlign w:val="bottom"/>
          </w:tcPr>
          <w:p w14:paraId="59F70642"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vAlign w:val="bottom"/>
          </w:tcPr>
          <w:p w14:paraId="74B7F33B"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fldChar w:fldCharType="begin"/>
            </w:r>
            <w:r w:rsidRPr="00C80F8E">
              <w:rPr>
                <w:rFonts w:ascii="Abadi" w:hAnsi="Abadi" w:cstheme="minorHAnsi"/>
                <w:b/>
                <w:sz w:val="16"/>
                <w:szCs w:val="16"/>
                <w:lang w:val="es-ES_tradnl"/>
              </w:rPr>
              <w:instrText xml:space="preserve"> =SUM(LEFT) \# "#,##0.00" </w:instrText>
            </w:r>
            <w:r w:rsidRPr="00C80F8E">
              <w:rPr>
                <w:rFonts w:ascii="Abadi" w:hAnsi="Abadi" w:cstheme="minorHAnsi"/>
                <w:b/>
                <w:sz w:val="16"/>
                <w:szCs w:val="16"/>
                <w:lang w:val="es-ES_tradnl"/>
              </w:rPr>
              <w:fldChar w:fldCharType="separate"/>
            </w:r>
            <w:r w:rsidRPr="00C80F8E">
              <w:rPr>
                <w:rFonts w:ascii="Abadi" w:hAnsi="Abadi" w:cstheme="minorHAnsi"/>
                <w:b/>
                <w:noProof/>
                <w:sz w:val="16"/>
                <w:szCs w:val="16"/>
                <w:lang w:val="es-ES_tradnl"/>
              </w:rPr>
              <w:t xml:space="preserve">   0.00</w:t>
            </w:r>
            <w:r w:rsidRPr="00C80F8E">
              <w:rPr>
                <w:rFonts w:ascii="Abadi" w:hAnsi="Abadi" w:cstheme="minorHAnsi"/>
                <w:b/>
                <w:sz w:val="16"/>
                <w:szCs w:val="16"/>
                <w:lang w:val="es-ES_tradnl"/>
              </w:rPr>
              <w:fldChar w:fldCharType="end"/>
            </w:r>
          </w:p>
        </w:tc>
      </w:tr>
      <w:tr w:rsidR="00A473BD" w:rsidRPr="00C80F8E" w14:paraId="50B05A71" w14:textId="77777777" w:rsidTr="00A473BD">
        <w:trPr>
          <w:trHeight w:val="109"/>
        </w:trPr>
        <w:tc>
          <w:tcPr>
            <w:tcW w:w="1568" w:type="dxa"/>
          </w:tcPr>
          <w:p w14:paraId="6E7FF438"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Retiros</w:t>
            </w:r>
          </w:p>
        </w:tc>
        <w:tc>
          <w:tcPr>
            <w:tcW w:w="1410" w:type="dxa"/>
            <w:vAlign w:val="bottom"/>
          </w:tcPr>
          <w:p w14:paraId="3DC902A1"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63769EBF"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283948F5" w14:textId="7116AC1D"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2EF57010" w14:textId="52D9EE09"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5412BA73" w14:textId="567A10E9"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58B4F16F" w14:textId="64596208"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54" w:type="dxa"/>
            <w:vAlign w:val="bottom"/>
          </w:tcPr>
          <w:p w14:paraId="36590902"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vAlign w:val="bottom"/>
          </w:tcPr>
          <w:p w14:paraId="10BB51B8"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vAlign w:val="bottom"/>
          </w:tcPr>
          <w:p w14:paraId="7D3AB7F6"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0.00</w:t>
            </w:r>
          </w:p>
        </w:tc>
      </w:tr>
      <w:tr w:rsidR="00A473BD" w:rsidRPr="00C80F8E" w14:paraId="21BDE5E0" w14:textId="77777777" w:rsidTr="00A473BD">
        <w:trPr>
          <w:trHeight w:val="109"/>
        </w:trPr>
        <w:tc>
          <w:tcPr>
            <w:tcW w:w="1568" w:type="dxa"/>
          </w:tcPr>
          <w:p w14:paraId="188A877B"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Otros</w:t>
            </w:r>
          </w:p>
        </w:tc>
        <w:tc>
          <w:tcPr>
            <w:tcW w:w="1410" w:type="dxa"/>
            <w:vAlign w:val="bottom"/>
          </w:tcPr>
          <w:p w14:paraId="157C38C7"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599ADB85"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64FB668C" w14:textId="0DD5B9C4"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3078E369" w14:textId="5C553F0B"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33428BAE" w14:textId="23E7A9C4"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24E4641F" w14:textId="53A31AA8"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54" w:type="dxa"/>
            <w:vAlign w:val="bottom"/>
          </w:tcPr>
          <w:p w14:paraId="63446275"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vAlign w:val="bottom"/>
          </w:tcPr>
          <w:p w14:paraId="51821931" w14:textId="2B03F16A" w:rsidR="00A473BD" w:rsidRPr="00C80F8E" w:rsidRDefault="006B78A6"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vAlign w:val="bottom"/>
          </w:tcPr>
          <w:p w14:paraId="070D3BDB" w14:textId="427E8D92" w:rsidR="00A473BD" w:rsidRPr="00C80F8E" w:rsidRDefault="00E70B76"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0.00</w:t>
            </w:r>
          </w:p>
        </w:tc>
      </w:tr>
      <w:tr w:rsidR="00A473BD" w:rsidRPr="00C80F8E" w14:paraId="65A0375D" w14:textId="77777777" w:rsidTr="00A473BD">
        <w:trPr>
          <w:trHeight w:val="109"/>
        </w:trPr>
        <w:tc>
          <w:tcPr>
            <w:tcW w:w="1568" w:type="dxa"/>
          </w:tcPr>
          <w:p w14:paraId="0D288763"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Transferencia</w:t>
            </w:r>
          </w:p>
        </w:tc>
        <w:tc>
          <w:tcPr>
            <w:tcW w:w="1410" w:type="dxa"/>
            <w:tcBorders>
              <w:bottom w:val="single" w:sz="12" w:space="0" w:color="auto"/>
            </w:tcBorders>
            <w:vAlign w:val="bottom"/>
          </w:tcPr>
          <w:p w14:paraId="66DE9F9A"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tcBorders>
              <w:bottom w:val="single" w:sz="12" w:space="0" w:color="auto"/>
            </w:tcBorders>
            <w:vAlign w:val="bottom"/>
          </w:tcPr>
          <w:p w14:paraId="059DD175"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tcBorders>
              <w:bottom w:val="single" w:sz="12" w:space="0" w:color="auto"/>
            </w:tcBorders>
            <w:vAlign w:val="bottom"/>
          </w:tcPr>
          <w:p w14:paraId="109A43AF" w14:textId="5B4456F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tcBorders>
              <w:bottom w:val="single" w:sz="12" w:space="0" w:color="auto"/>
            </w:tcBorders>
            <w:vAlign w:val="bottom"/>
          </w:tcPr>
          <w:p w14:paraId="195452CB" w14:textId="395B97BA"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tcBorders>
              <w:bottom w:val="single" w:sz="12" w:space="0" w:color="auto"/>
            </w:tcBorders>
            <w:vAlign w:val="bottom"/>
          </w:tcPr>
          <w:p w14:paraId="2B4DDF60" w14:textId="096885FE"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tcBorders>
              <w:bottom w:val="single" w:sz="12" w:space="0" w:color="auto"/>
            </w:tcBorders>
            <w:vAlign w:val="bottom"/>
          </w:tcPr>
          <w:p w14:paraId="1279284F" w14:textId="148772DA"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54" w:type="dxa"/>
            <w:tcBorders>
              <w:bottom w:val="single" w:sz="12" w:space="0" w:color="auto"/>
            </w:tcBorders>
            <w:vAlign w:val="bottom"/>
          </w:tcPr>
          <w:p w14:paraId="47C14EAD"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tcBorders>
              <w:bottom w:val="single" w:sz="12" w:space="0" w:color="auto"/>
            </w:tcBorders>
            <w:vAlign w:val="bottom"/>
          </w:tcPr>
          <w:p w14:paraId="5DF42E4B"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tcBorders>
              <w:bottom w:val="single" w:sz="12" w:space="0" w:color="auto"/>
            </w:tcBorders>
            <w:vAlign w:val="bottom"/>
          </w:tcPr>
          <w:p w14:paraId="7BA0DF37"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fldChar w:fldCharType="begin"/>
            </w:r>
            <w:r w:rsidRPr="00C80F8E">
              <w:rPr>
                <w:rFonts w:ascii="Abadi" w:hAnsi="Abadi" w:cstheme="minorHAnsi"/>
                <w:b/>
                <w:sz w:val="16"/>
                <w:szCs w:val="16"/>
                <w:lang w:val="es-ES_tradnl"/>
              </w:rPr>
              <w:instrText xml:space="preserve"> =SUM(LEFT) \# "#,##0.00" </w:instrText>
            </w:r>
            <w:r w:rsidRPr="00C80F8E">
              <w:rPr>
                <w:rFonts w:ascii="Abadi" w:hAnsi="Abadi" w:cstheme="minorHAnsi"/>
                <w:b/>
                <w:sz w:val="16"/>
                <w:szCs w:val="16"/>
                <w:lang w:val="es-ES_tradnl"/>
              </w:rPr>
              <w:fldChar w:fldCharType="separate"/>
            </w:r>
            <w:r w:rsidRPr="00C80F8E">
              <w:rPr>
                <w:rFonts w:ascii="Abadi" w:hAnsi="Abadi" w:cstheme="minorHAnsi"/>
                <w:b/>
                <w:noProof/>
                <w:sz w:val="16"/>
                <w:szCs w:val="16"/>
                <w:lang w:val="es-ES_tradnl"/>
              </w:rPr>
              <w:t xml:space="preserve">   0.00</w:t>
            </w:r>
            <w:r w:rsidRPr="00C80F8E">
              <w:rPr>
                <w:rFonts w:ascii="Abadi" w:hAnsi="Abadi" w:cstheme="minorHAnsi"/>
                <w:b/>
                <w:sz w:val="16"/>
                <w:szCs w:val="16"/>
                <w:lang w:val="es-ES_tradnl"/>
              </w:rPr>
              <w:fldChar w:fldCharType="end"/>
            </w:r>
          </w:p>
        </w:tc>
      </w:tr>
      <w:tr w:rsidR="00A473BD" w:rsidRPr="00C80F8E" w14:paraId="0E6284F5" w14:textId="77777777" w:rsidTr="00A473BD">
        <w:trPr>
          <w:trHeight w:val="109"/>
        </w:trPr>
        <w:tc>
          <w:tcPr>
            <w:tcW w:w="1568" w:type="dxa"/>
          </w:tcPr>
          <w:p w14:paraId="4E78EAB0"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Saldo al Final del Periodo</w:t>
            </w:r>
          </w:p>
        </w:tc>
        <w:tc>
          <w:tcPr>
            <w:tcW w:w="1410" w:type="dxa"/>
            <w:tcBorders>
              <w:top w:val="single" w:sz="12" w:space="0" w:color="auto"/>
            </w:tcBorders>
            <w:vAlign w:val="center"/>
          </w:tcPr>
          <w:p w14:paraId="0FD03E1A" w14:textId="77777777" w:rsidR="00A473BD" w:rsidRPr="00C80F8E" w:rsidRDefault="00A473BD" w:rsidP="008A4033">
            <w:pPr>
              <w:jc w:val="right"/>
              <w:rPr>
                <w:rFonts w:ascii="Abadi" w:hAnsi="Abadi" w:cstheme="minorHAnsi"/>
                <w:b/>
                <w:noProof/>
                <w:sz w:val="16"/>
                <w:szCs w:val="16"/>
                <w:lang w:val="es-ES_tradnl"/>
              </w:rPr>
            </w:pPr>
          </w:p>
          <w:p w14:paraId="42EB2EF5"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35,297,293.88</w:t>
            </w:r>
          </w:p>
        </w:tc>
        <w:tc>
          <w:tcPr>
            <w:tcW w:w="1562" w:type="dxa"/>
            <w:tcBorders>
              <w:top w:val="single" w:sz="12" w:space="0" w:color="auto"/>
            </w:tcBorders>
            <w:vAlign w:val="center"/>
          </w:tcPr>
          <w:p w14:paraId="537539BB" w14:textId="77777777" w:rsidR="00A473BD" w:rsidRPr="00C80F8E" w:rsidRDefault="00A473BD" w:rsidP="008A4033">
            <w:pPr>
              <w:jc w:val="right"/>
              <w:rPr>
                <w:rFonts w:ascii="Abadi" w:hAnsi="Abadi" w:cstheme="minorHAnsi"/>
                <w:b/>
                <w:noProof/>
                <w:sz w:val="16"/>
                <w:szCs w:val="16"/>
                <w:lang w:val="es-ES_tradnl"/>
              </w:rPr>
            </w:pPr>
          </w:p>
          <w:p w14:paraId="533494C6" w14:textId="1FEC62AF"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95,061,773.95</w:t>
            </w:r>
          </w:p>
        </w:tc>
        <w:tc>
          <w:tcPr>
            <w:tcW w:w="1562" w:type="dxa"/>
            <w:tcBorders>
              <w:top w:val="single" w:sz="12" w:space="0" w:color="auto"/>
            </w:tcBorders>
            <w:vAlign w:val="center"/>
          </w:tcPr>
          <w:p w14:paraId="67C91580" w14:textId="77777777" w:rsidR="00A473BD" w:rsidRPr="00C80F8E" w:rsidRDefault="00A473BD" w:rsidP="008A4033">
            <w:pPr>
              <w:jc w:val="right"/>
              <w:rPr>
                <w:rFonts w:ascii="Abadi" w:hAnsi="Abadi" w:cstheme="minorHAnsi"/>
                <w:b/>
                <w:noProof/>
                <w:sz w:val="16"/>
                <w:szCs w:val="16"/>
                <w:lang w:val="es-ES_tradnl"/>
              </w:rPr>
            </w:pPr>
          </w:p>
          <w:p w14:paraId="51BB693C" w14:textId="42CA28CE" w:rsidR="00A473BD" w:rsidRPr="00C80F8E" w:rsidRDefault="00A473BD" w:rsidP="008A4033">
            <w:pPr>
              <w:jc w:val="right"/>
              <w:rPr>
                <w:rFonts w:ascii="Abadi" w:hAnsi="Abadi" w:cstheme="minorHAnsi"/>
                <w:b/>
                <w:noProof/>
                <w:sz w:val="16"/>
                <w:szCs w:val="16"/>
                <w:lang w:val="es-ES_tradnl"/>
              </w:rPr>
            </w:pPr>
            <w:r w:rsidRPr="00C80F8E">
              <w:rPr>
                <w:rFonts w:ascii="Abadi" w:hAnsi="Abadi" w:cstheme="minorHAnsi"/>
                <w:b/>
                <w:sz w:val="16"/>
                <w:szCs w:val="16"/>
                <w:lang w:val="es-ES_tradnl"/>
              </w:rPr>
              <w:t>22,223,566.</w:t>
            </w:r>
            <w:r w:rsidR="00C7633B">
              <w:rPr>
                <w:rFonts w:ascii="Abadi" w:hAnsi="Abadi" w:cstheme="minorHAnsi"/>
                <w:b/>
                <w:sz w:val="16"/>
                <w:szCs w:val="16"/>
                <w:lang w:val="es-ES_tradnl"/>
              </w:rPr>
              <w:t>36</w:t>
            </w:r>
          </w:p>
        </w:tc>
        <w:tc>
          <w:tcPr>
            <w:tcW w:w="1562" w:type="dxa"/>
            <w:tcBorders>
              <w:top w:val="single" w:sz="12" w:space="0" w:color="auto"/>
            </w:tcBorders>
            <w:vAlign w:val="bottom"/>
          </w:tcPr>
          <w:p w14:paraId="132F95C6" w14:textId="741F7558" w:rsidR="00A473BD" w:rsidRPr="00C80F8E" w:rsidRDefault="00A473BD" w:rsidP="008A4033">
            <w:pPr>
              <w:jc w:val="right"/>
              <w:rPr>
                <w:rFonts w:ascii="Abadi" w:hAnsi="Abadi" w:cstheme="minorHAnsi"/>
                <w:b/>
                <w:noProof/>
                <w:sz w:val="16"/>
                <w:szCs w:val="16"/>
                <w:lang w:val="es-ES_tradnl"/>
              </w:rPr>
            </w:pPr>
            <w:r w:rsidRPr="00C80F8E">
              <w:rPr>
                <w:rFonts w:ascii="Abadi" w:hAnsi="Abadi" w:cstheme="minorHAnsi"/>
                <w:b/>
                <w:noProof/>
                <w:sz w:val="16"/>
                <w:szCs w:val="16"/>
                <w:lang w:val="es-ES_tradnl"/>
              </w:rPr>
              <w:t>41,328,734.84</w:t>
            </w:r>
          </w:p>
        </w:tc>
        <w:tc>
          <w:tcPr>
            <w:tcW w:w="1562" w:type="dxa"/>
            <w:tcBorders>
              <w:top w:val="single" w:sz="12" w:space="0" w:color="auto"/>
            </w:tcBorders>
            <w:vAlign w:val="bottom"/>
          </w:tcPr>
          <w:p w14:paraId="2A713FED" w14:textId="09E9272F" w:rsidR="00A473BD" w:rsidRPr="00C80F8E" w:rsidRDefault="00A473BD" w:rsidP="008A4033">
            <w:pPr>
              <w:jc w:val="right"/>
              <w:rPr>
                <w:rFonts w:ascii="Abadi" w:hAnsi="Abadi" w:cstheme="minorHAnsi"/>
                <w:b/>
                <w:noProof/>
                <w:sz w:val="16"/>
                <w:szCs w:val="16"/>
                <w:lang w:val="es-ES_tradnl"/>
              </w:rPr>
            </w:pPr>
            <w:r w:rsidRPr="00C80F8E">
              <w:rPr>
                <w:rFonts w:ascii="Abadi" w:hAnsi="Abadi" w:cstheme="minorHAnsi"/>
                <w:b/>
                <w:sz w:val="16"/>
                <w:szCs w:val="16"/>
                <w:lang w:val="es-ES_tradnl"/>
              </w:rPr>
              <w:t>4,737,366.12</w:t>
            </w:r>
          </w:p>
        </w:tc>
        <w:tc>
          <w:tcPr>
            <w:tcW w:w="1562" w:type="dxa"/>
            <w:tcBorders>
              <w:top w:val="single" w:sz="12" w:space="0" w:color="auto"/>
            </w:tcBorders>
            <w:vAlign w:val="bottom"/>
          </w:tcPr>
          <w:p w14:paraId="233C419B" w14:textId="716ED126" w:rsidR="00A473BD" w:rsidRPr="00C80F8E" w:rsidRDefault="00A473BD" w:rsidP="008A4033">
            <w:pPr>
              <w:jc w:val="right"/>
              <w:rPr>
                <w:rFonts w:ascii="Abadi" w:hAnsi="Abadi" w:cstheme="minorHAnsi"/>
                <w:b/>
                <w:noProof/>
                <w:sz w:val="16"/>
                <w:szCs w:val="16"/>
                <w:lang w:val="es-ES_tradnl"/>
              </w:rPr>
            </w:pPr>
            <w:r w:rsidRPr="00C80F8E">
              <w:rPr>
                <w:rFonts w:ascii="Abadi" w:hAnsi="Abadi" w:cstheme="minorHAnsi"/>
                <w:b/>
                <w:noProof/>
                <w:sz w:val="16"/>
                <w:szCs w:val="16"/>
                <w:lang w:val="es-ES_tradnl"/>
              </w:rPr>
              <w:t>23,461,71</w:t>
            </w:r>
            <w:r w:rsidR="004854D3">
              <w:rPr>
                <w:rFonts w:ascii="Abadi" w:hAnsi="Abadi" w:cstheme="minorHAnsi"/>
                <w:b/>
                <w:noProof/>
                <w:sz w:val="16"/>
                <w:szCs w:val="16"/>
                <w:lang w:val="es-ES_tradnl"/>
              </w:rPr>
              <w:t>3.63</w:t>
            </w:r>
          </w:p>
        </w:tc>
        <w:tc>
          <w:tcPr>
            <w:tcW w:w="1454" w:type="dxa"/>
            <w:tcBorders>
              <w:top w:val="single" w:sz="12" w:space="0" w:color="auto"/>
            </w:tcBorders>
            <w:vAlign w:val="center"/>
          </w:tcPr>
          <w:p w14:paraId="17B74F74" w14:textId="77777777" w:rsidR="00A473BD" w:rsidRPr="00C80F8E" w:rsidRDefault="00A473BD" w:rsidP="008A4033">
            <w:pPr>
              <w:jc w:val="right"/>
              <w:rPr>
                <w:rFonts w:ascii="Abadi" w:hAnsi="Abadi" w:cstheme="minorHAnsi"/>
                <w:b/>
                <w:noProof/>
                <w:sz w:val="16"/>
                <w:szCs w:val="16"/>
                <w:lang w:val="es-ES_tradnl"/>
              </w:rPr>
            </w:pPr>
          </w:p>
          <w:p w14:paraId="6E6FE589"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2,597,093.00</w:t>
            </w:r>
          </w:p>
        </w:tc>
        <w:tc>
          <w:tcPr>
            <w:tcW w:w="1409" w:type="dxa"/>
            <w:tcBorders>
              <w:top w:val="single" w:sz="12" w:space="0" w:color="auto"/>
            </w:tcBorders>
            <w:vAlign w:val="bottom"/>
          </w:tcPr>
          <w:p w14:paraId="55C5B526" w14:textId="7114669B"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37,779,409.</w:t>
            </w:r>
            <w:r w:rsidR="00415498">
              <w:rPr>
                <w:rFonts w:ascii="Abadi" w:hAnsi="Abadi" w:cstheme="minorHAnsi"/>
                <w:b/>
                <w:sz w:val="16"/>
                <w:szCs w:val="16"/>
                <w:lang w:val="es-ES_tradnl"/>
              </w:rPr>
              <w:t>50</w:t>
            </w:r>
          </w:p>
        </w:tc>
        <w:tc>
          <w:tcPr>
            <w:tcW w:w="1469" w:type="dxa"/>
            <w:tcBorders>
              <w:top w:val="single" w:sz="12" w:space="0" w:color="auto"/>
            </w:tcBorders>
            <w:vAlign w:val="bottom"/>
          </w:tcPr>
          <w:p w14:paraId="1CC360BA" w14:textId="3B28D91C"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262,486,95</w:t>
            </w:r>
            <w:r w:rsidR="00371D7C">
              <w:rPr>
                <w:rFonts w:ascii="Abadi" w:hAnsi="Abadi" w:cstheme="minorHAnsi"/>
                <w:b/>
                <w:sz w:val="16"/>
                <w:szCs w:val="16"/>
                <w:lang w:val="es-ES_tradnl"/>
              </w:rPr>
              <w:t>1.37</w:t>
            </w:r>
          </w:p>
        </w:tc>
      </w:tr>
      <w:tr w:rsidR="00A473BD" w:rsidRPr="00C80F8E" w14:paraId="43157D0A" w14:textId="77777777" w:rsidTr="00A473BD">
        <w:trPr>
          <w:trHeight w:val="109"/>
        </w:trPr>
        <w:tc>
          <w:tcPr>
            <w:tcW w:w="1568" w:type="dxa"/>
          </w:tcPr>
          <w:p w14:paraId="7493661F" w14:textId="77777777" w:rsidR="00A473BD" w:rsidRPr="00C80F8E" w:rsidRDefault="00A473BD" w:rsidP="008A4033">
            <w:pPr>
              <w:rPr>
                <w:rFonts w:ascii="Abadi" w:hAnsi="Abadi" w:cstheme="minorHAnsi"/>
                <w:bCs/>
                <w:sz w:val="16"/>
                <w:szCs w:val="16"/>
                <w:lang w:val="es-ES_tradnl"/>
              </w:rPr>
            </w:pPr>
          </w:p>
        </w:tc>
        <w:tc>
          <w:tcPr>
            <w:tcW w:w="1410" w:type="dxa"/>
            <w:vAlign w:val="bottom"/>
          </w:tcPr>
          <w:p w14:paraId="55C1992A"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7F1DBB4B"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5115C615"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130D688C" w14:textId="5512E631"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39071557"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32A720B0" w14:textId="21CC6338" w:rsidR="00A473BD" w:rsidRPr="00C80F8E" w:rsidRDefault="00A473BD" w:rsidP="008A4033">
            <w:pPr>
              <w:jc w:val="right"/>
              <w:rPr>
                <w:rFonts w:ascii="Abadi" w:hAnsi="Abadi" w:cstheme="minorHAnsi"/>
                <w:bCs/>
                <w:sz w:val="16"/>
                <w:szCs w:val="16"/>
                <w:lang w:val="es-ES_tradnl"/>
              </w:rPr>
            </w:pPr>
          </w:p>
        </w:tc>
        <w:tc>
          <w:tcPr>
            <w:tcW w:w="1454" w:type="dxa"/>
            <w:vAlign w:val="bottom"/>
          </w:tcPr>
          <w:p w14:paraId="4BB395CB" w14:textId="77777777" w:rsidR="00A473BD" w:rsidRPr="00C80F8E" w:rsidRDefault="00A473BD" w:rsidP="008A4033">
            <w:pPr>
              <w:jc w:val="right"/>
              <w:rPr>
                <w:rFonts w:ascii="Abadi" w:hAnsi="Abadi" w:cstheme="minorHAnsi"/>
                <w:bCs/>
                <w:sz w:val="16"/>
                <w:szCs w:val="16"/>
                <w:lang w:val="es-ES_tradnl"/>
              </w:rPr>
            </w:pPr>
          </w:p>
        </w:tc>
        <w:tc>
          <w:tcPr>
            <w:tcW w:w="1409" w:type="dxa"/>
            <w:vAlign w:val="bottom"/>
          </w:tcPr>
          <w:p w14:paraId="4386690F" w14:textId="77777777" w:rsidR="00A473BD" w:rsidRPr="00C80F8E" w:rsidRDefault="00A473BD" w:rsidP="008A4033">
            <w:pPr>
              <w:jc w:val="right"/>
              <w:rPr>
                <w:rFonts w:ascii="Abadi" w:hAnsi="Abadi" w:cstheme="minorHAnsi"/>
                <w:bCs/>
                <w:sz w:val="16"/>
                <w:szCs w:val="16"/>
                <w:lang w:val="es-ES_tradnl"/>
              </w:rPr>
            </w:pPr>
          </w:p>
        </w:tc>
        <w:tc>
          <w:tcPr>
            <w:tcW w:w="1469" w:type="dxa"/>
            <w:vAlign w:val="bottom"/>
          </w:tcPr>
          <w:p w14:paraId="167935E6" w14:textId="77777777" w:rsidR="00A473BD" w:rsidRPr="00C80F8E" w:rsidRDefault="00A473BD" w:rsidP="008A4033">
            <w:pPr>
              <w:jc w:val="right"/>
              <w:rPr>
                <w:rFonts w:ascii="Abadi" w:hAnsi="Abadi" w:cstheme="minorHAnsi"/>
                <w:bCs/>
                <w:sz w:val="16"/>
                <w:szCs w:val="16"/>
                <w:lang w:val="es-ES_tradnl"/>
              </w:rPr>
            </w:pPr>
          </w:p>
        </w:tc>
      </w:tr>
      <w:tr w:rsidR="00A473BD" w:rsidRPr="00C80F8E" w14:paraId="55401E83" w14:textId="77777777" w:rsidTr="00A473BD">
        <w:trPr>
          <w:trHeight w:val="109"/>
        </w:trPr>
        <w:tc>
          <w:tcPr>
            <w:tcW w:w="1568" w:type="dxa"/>
          </w:tcPr>
          <w:p w14:paraId="2A6AC339" w14:textId="77777777" w:rsidR="00A473BD" w:rsidRPr="00C80F8E" w:rsidRDefault="00A473BD" w:rsidP="008A4033">
            <w:pPr>
              <w:rPr>
                <w:rFonts w:ascii="Abadi" w:hAnsi="Abadi" w:cstheme="minorHAnsi"/>
                <w:b/>
                <w:bCs/>
                <w:sz w:val="16"/>
                <w:szCs w:val="16"/>
                <w:lang w:val="es-ES_tradnl"/>
              </w:rPr>
            </w:pPr>
            <w:r w:rsidRPr="00C80F8E">
              <w:rPr>
                <w:rFonts w:ascii="Abadi" w:hAnsi="Abadi" w:cstheme="minorHAnsi"/>
                <w:b/>
                <w:bCs/>
                <w:sz w:val="16"/>
                <w:szCs w:val="16"/>
                <w:lang w:val="es-ES_tradnl"/>
              </w:rPr>
              <w:t>Depreciación Acumulada</w:t>
            </w:r>
          </w:p>
        </w:tc>
        <w:tc>
          <w:tcPr>
            <w:tcW w:w="1410" w:type="dxa"/>
            <w:vAlign w:val="bottom"/>
          </w:tcPr>
          <w:p w14:paraId="5CD02C56"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3941B5C9"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73B91952"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09218DF0" w14:textId="29210B3E"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39F71752" w14:textId="77777777"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28E7B1FE" w14:textId="24E9D758" w:rsidR="00A473BD" w:rsidRPr="00C80F8E" w:rsidRDefault="00A473BD" w:rsidP="008A4033">
            <w:pPr>
              <w:jc w:val="right"/>
              <w:rPr>
                <w:rFonts w:ascii="Abadi" w:hAnsi="Abadi" w:cstheme="minorHAnsi"/>
                <w:bCs/>
                <w:sz w:val="16"/>
                <w:szCs w:val="16"/>
                <w:lang w:val="es-ES_tradnl"/>
              </w:rPr>
            </w:pPr>
          </w:p>
        </w:tc>
        <w:tc>
          <w:tcPr>
            <w:tcW w:w="1454" w:type="dxa"/>
            <w:vAlign w:val="bottom"/>
          </w:tcPr>
          <w:p w14:paraId="51EED79B" w14:textId="77777777" w:rsidR="00A473BD" w:rsidRPr="00C80F8E" w:rsidRDefault="00A473BD" w:rsidP="008A4033">
            <w:pPr>
              <w:jc w:val="right"/>
              <w:rPr>
                <w:rFonts w:ascii="Abadi" w:hAnsi="Abadi" w:cstheme="minorHAnsi"/>
                <w:bCs/>
                <w:sz w:val="16"/>
                <w:szCs w:val="16"/>
                <w:lang w:val="es-ES_tradnl"/>
              </w:rPr>
            </w:pPr>
          </w:p>
        </w:tc>
        <w:tc>
          <w:tcPr>
            <w:tcW w:w="1409" w:type="dxa"/>
            <w:vAlign w:val="bottom"/>
          </w:tcPr>
          <w:p w14:paraId="52D23990" w14:textId="77777777" w:rsidR="00A473BD" w:rsidRPr="00C80F8E" w:rsidRDefault="00A473BD" w:rsidP="008A4033">
            <w:pPr>
              <w:jc w:val="right"/>
              <w:rPr>
                <w:rFonts w:ascii="Abadi" w:hAnsi="Abadi" w:cstheme="minorHAnsi"/>
                <w:bCs/>
                <w:sz w:val="16"/>
                <w:szCs w:val="16"/>
                <w:lang w:val="es-ES_tradnl"/>
              </w:rPr>
            </w:pPr>
          </w:p>
        </w:tc>
        <w:tc>
          <w:tcPr>
            <w:tcW w:w="1469" w:type="dxa"/>
            <w:vAlign w:val="bottom"/>
          </w:tcPr>
          <w:p w14:paraId="65F72480" w14:textId="77777777" w:rsidR="00A473BD" w:rsidRPr="00C80F8E" w:rsidRDefault="00A473BD" w:rsidP="008A4033">
            <w:pPr>
              <w:jc w:val="right"/>
              <w:rPr>
                <w:rFonts w:ascii="Abadi" w:hAnsi="Abadi" w:cstheme="minorHAnsi"/>
                <w:bCs/>
                <w:sz w:val="16"/>
                <w:szCs w:val="16"/>
                <w:lang w:val="es-ES_tradnl"/>
              </w:rPr>
            </w:pPr>
          </w:p>
        </w:tc>
      </w:tr>
      <w:tr w:rsidR="00A473BD" w:rsidRPr="00C80F8E" w14:paraId="26221D5B" w14:textId="77777777" w:rsidTr="00A473BD">
        <w:trPr>
          <w:trHeight w:val="109"/>
        </w:trPr>
        <w:tc>
          <w:tcPr>
            <w:tcW w:w="1568" w:type="dxa"/>
          </w:tcPr>
          <w:p w14:paraId="17DF6388"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Al inicio del Periodo</w:t>
            </w:r>
          </w:p>
        </w:tc>
        <w:tc>
          <w:tcPr>
            <w:tcW w:w="1410" w:type="dxa"/>
            <w:vAlign w:val="bottom"/>
          </w:tcPr>
          <w:p w14:paraId="6FFA0702"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65EBD72D" w14:textId="751D85E5"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(34,626,086.57)</w:t>
            </w:r>
          </w:p>
        </w:tc>
        <w:tc>
          <w:tcPr>
            <w:tcW w:w="1562" w:type="dxa"/>
            <w:vAlign w:val="bottom"/>
          </w:tcPr>
          <w:p w14:paraId="4285C3B0" w14:textId="53BC7B5D"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(16,539,422.87)</w:t>
            </w:r>
          </w:p>
        </w:tc>
        <w:tc>
          <w:tcPr>
            <w:tcW w:w="1562" w:type="dxa"/>
            <w:vAlign w:val="bottom"/>
          </w:tcPr>
          <w:p w14:paraId="56509163" w14:textId="4D7F20EA"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(20,755,959.24)</w:t>
            </w:r>
          </w:p>
        </w:tc>
        <w:tc>
          <w:tcPr>
            <w:tcW w:w="1562" w:type="dxa"/>
            <w:vAlign w:val="bottom"/>
          </w:tcPr>
          <w:p w14:paraId="23313647" w14:textId="12989EF5"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(4,441,</w:t>
            </w:r>
            <w:r w:rsidR="00C36778">
              <w:rPr>
                <w:rFonts w:ascii="Abadi" w:hAnsi="Abadi" w:cstheme="minorHAnsi"/>
                <w:bCs/>
                <w:sz w:val="16"/>
                <w:szCs w:val="16"/>
                <w:lang w:val="es-ES_tradnl"/>
              </w:rPr>
              <w:t>610.</w:t>
            </w:r>
            <w:r w:rsidR="00335779">
              <w:rPr>
                <w:rFonts w:ascii="Abadi" w:hAnsi="Abadi" w:cstheme="minorHAnsi"/>
                <w:bCs/>
                <w:sz w:val="16"/>
                <w:szCs w:val="16"/>
                <w:lang w:val="es-ES_tradnl"/>
              </w:rPr>
              <w:t>50</w:t>
            </w:r>
            <w:r w:rsidRPr="00C80F8E">
              <w:rPr>
                <w:rFonts w:ascii="Abadi" w:hAnsi="Abadi" w:cstheme="minorHAnsi"/>
                <w:bCs/>
                <w:sz w:val="16"/>
                <w:szCs w:val="16"/>
                <w:lang w:val="es-ES_tradnl"/>
              </w:rPr>
              <w:t>)</w:t>
            </w:r>
          </w:p>
        </w:tc>
        <w:tc>
          <w:tcPr>
            <w:tcW w:w="1562" w:type="dxa"/>
            <w:vAlign w:val="bottom"/>
          </w:tcPr>
          <w:p w14:paraId="23AAD881" w14:textId="720A55E6"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(11</w:t>
            </w:r>
            <w:r w:rsidR="00BF60AF" w:rsidRPr="00C80F8E">
              <w:rPr>
                <w:rFonts w:ascii="Abadi" w:hAnsi="Abadi" w:cstheme="minorHAnsi"/>
                <w:bCs/>
                <w:sz w:val="16"/>
                <w:szCs w:val="16"/>
                <w:lang w:val="es-ES_tradnl"/>
              </w:rPr>
              <w:t>,</w:t>
            </w:r>
            <w:r w:rsidRPr="00C80F8E">
              <w:rPr>
                <w:rFonts w:ascii="Abadi" w:hAnsi="Abadi" w:cstheme="minorHAnsi"/>
                <w:bCs/>
                <w:sz w:val="16"/>
                <w:szCs w:val="16"/>
                <w:lang w:val="es-ES_tradnl"/>
              </w:rPr>
              <w:t>285</w:t>
            </w:r>
            <w:r w:rsidR="00BF60AF" w:rsidRPr="00C80F8E">
              <w:rPr>
                <w:rFonts w:ascii="Abadi" w:hAnsi="Abadi" w:cstheme="minorHAnsi"/>
                <w:bCs/>
                <w:sz w:val="16"/>
                <w:szCs w:val="16"/>
                <w:lang w:val="es-ES_tradnl"/>
              </w:rPr>
              <w:t>,</w:t>
            </w:r>
            <w:r w:rsidRPr="00C80F8E">
              <w:rPr>
                <w:rFonts w:ascii="Abadi" w:hAnsi="Abadi" w:cstheme="minorHAnsi"/>
                <w:bCs/>
                <w:sz w:val="16"/>
                <w:szCs w:val="16"/>
                <w:lang w:val="es-ES_tradnl"/>
              </w:rPr>
              <w:t>79</w:t>
            </w:r>
            <w:r w:rsidR="001F6ECB">
              <w:rPr>
                <w:rFonts w:ascii="Abadi" w:hAnsi="Abadi" w:cstheme="minorHAnsi"/>
                <w:bCs/>
                <w:sz w:val="16"/>
                <w:szCs w:val="16"/>
                <w:lang w:val="es-ES_tradnl"/>
              </w:rPr>
              <w:t>7</w:t>
            </w:r>
            <w:r w:rsidRPr="00C80F8E">
              <w:rPr>
                <w:rFonts w:ascii="Abadi" w:hAnsi="Abadi" w:cstheme="minorHAnsi"/>
                <w:bCs/>
                <w:sz w:val="16"/>
                <w:szCs w:val="16"/>
                <w:lang w:val="es-ES_tradnl"/>
              </w:rPr>
              <w:t>.7</w:t>
            </w:r>
            <w:r w:rsidR="001F6ECB">
              <w:rPr>
                <w:rFonts w:ascii="Abadi" w:hAnsi="Abadi" w:cstheme="minorHAnsi"/>
                <w:bCs/>
                <w:sz w:val="16"/>
                <w:szCs w:val="16"/>
                <w:lang w:val="es-ES_tradnl"/>
              </w:rPr>
              <w:t>7</w:t>
            </w:r>
            <w:r w:rsidRPr="00C80F8E">
              <w:rPr>
                <w:rFonts w:ascii="Abadi" w:hAnsi="Abadi" w:cstheme="minorHAnsi"/>
                <w:bCs/>
                <w:sz w:val="16"/>
                <w:szCs w:val="16"/>
                <w:lang w:val="es-ES_tradnl"/>
              </w:rPr>
              <w:t>)</w:t>
            </w:r>
          </w:p>
        </w:tc>
        <w:tc>
          <w:tcPr>
            <w:tcW w:w="1454" w:type="dxa"/>
            <w:vAlign w:val="bottom"/>
          </w:tcPr>
          <w:p w14:paraId="3F844097"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vAlign w:val="bottom"/>
          </w:tcPr>
          <w:p w14:paraId="4FAEBE84"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vAlign w:val="bottom"/>
          </w:tcPr>
          <w:p w14:paraId="7DCFC0BD" w14:textId="77C64E9D"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(87,648,87</w:t>
            </w:r>
            <w:r w:rsidR="00D850A6">
              <w:rPr>
                <w:rFonts w:ascii="Abadi" w:hAnsi="Abadi" w:cstheme="minorHAnsi"/>
                <w:b/>
                <w:sz w:val="16"/>
                <w:szCs w:val="16"/>
                <w:lang w:val="es-ES_tradnl"/>
              </w:rPr>
              <w:t>6.16</w:t>
            </w:r>
            <w:r w:rsidRPr="00C80F8E">
              <w:rPr>
                <w:rFonts w:ascii="Abadi" w:hAnsi="Abadi" w:cstheme="minorHAnsi"/>
                <w:b/>
                <w:sz w:val="16"/>
                <w:szCs w:val="16"/>
                <w:lang w:val="es-ES_tradnl"/>
              </w:rPr>
              <w:t>)</w:t>
            </w:r>
          </w:p>
        </w:tc>
      </w:tr>
      <w:tr w:rsidR="00A473BD" w:rsidRPr="00C80F8E" w14:paraId="1AAD47D2" w14:textId="77777777" w:rsidTr="00A473BD">
        <w:trPr>
          <w:trHeight w:val="109"/>
        </w:trPr>
        <w:tc>
          <w:tcPr>
            <w:tcW w:w="1568" w:type="dxa"/>
          </w:tcPr>
          <w:p w14:paraId="05CCE7EE"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Cargo del Periodo</w:t>
            </w:r>
          </w:p>
        </w:tc>
        <w:tc>
          <w:tcPr>
            <w:tcW w:w="1410" w:type="dxa"/>
            <w:vAlign w:val="bottom"/>
          </w:tcPr>
          <w:p w14:paraId="20EA4DF6"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57BD8832" w14:textId="530E5C9A"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(896,991.48)</w:t>
            </w:r>
          </w:p>
        </w:tc>
        <w:tc>
          <w:tcPr>
            <w:tcW w:w="1562" w:type="dxa"/>
            <w:vAlign w:val="bottom"/>
          </w:tcPr>
          <w:p w14:paraId="4CAE656C" w14:textId="00D57508"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(522,928.65)</w:t>
            </w:r>
          </w:p>
        </w:tc>
        <w:tc>
          <w:tcPr>
            <w:tcW w:w="1562" w:type="dxa"/>
            <w:vAlign w:val="bottom"/>
          </w:tcPr>
          <w:p w14:paraId="6090E8C9" w14:textId="10E41012"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(3,992,373.40</w:t>
            </w:r>
          </w:p>
        </w:tc>
        <w:tc>
          <w:tcPr>
            <w:tcW w:w="1562" w:type="dxa"/>
            <w:vAlign w:val="bottom"/>
          </w:tcPr>
          <w:p w14:paraId="252CFF00" w14:textId="651158BA"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(162,786.42)</w:t>
            </w:r>
          </w:p>
        </w:tc>
        <w:tc>
          <w:tcPr>
            <w:tcW w:w="1562" w:type="dxa"/>
            <w:vAlign w:val="bottom"/>
          </w:tcPr>
          <w:p w14:paraId="1D1EB7FD" w14:textId="6876D852"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(924,680.60)</w:t>
            </w:r>
          </w:p>
        </w:tc>
        <w:tc>
          <w:tcPr>
            <w:tcW w:w="1454" w:type="dxa"/>
            <w:vAlign w:val="bottom"/>
          </w:tcPr>
          <w:p w14:paraId="59B53DEC"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vAlign w:val="bottom"/>
          </w:tcPr>
          <w:p w14:paraId="19157209"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vAlign w:val="bottom"/>
          </w:tcPr>
          <w:p w14:paraId="66C47AF0" w14:textId="6E856188"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(6,499,760.55)</w:t>
            </w:r>
          </w:p>
        </w:tc>
      </w:tr>
      <w:tr w:rsidR="00A473BD" w:rsidRPr="00C80F8E" w14:paraId="228A03BA" w14:textId="77777777" w:rsidTr="00A473BD">
        <w:trPr>
          <w:trHeight w:val="101"/>
        </w:trPr>
        <w:tc>
          <w:tcPr>
            <w:tcW w:w="1568" w:type="dxa"/>
          </w:tcPr>
          <w:p w14:paraId="04A8F5B8"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Retiros</w:t>
            </w:r>
          </w:p>
        </w:tc>
        <w:tc>
          <w:tcPr>
            <w:tcW w:w="1410" w:type="dxa"/>
            <w:vAlign w:val="bottom"/>
          </w:tcPr>
          <w:p w14:paraId="60E750AF"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250F364C"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2CDA7BA6" w14:textId="17F76A02"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4D44948F" w14:textId="408441BB" w:rsidR="00A473BD" w:rsidRPr="00C80F8E" w:rsidRDefault="00A473BD" w:rsidP="008A4033">
            <w:pPr>
              <w:jc w:val="right"/>
              <w:rPr>
                <w:rFonts w:ascii="Abadi" w:hAnsi="Abadi" w:cstheme="minorHAnsi"/>
                <w:bCs/>
                <w:sz w:val="16"/>
                <w:szCs w:val="16"/>
                <w:lang w:val="es-ES_tradnl"/>
              </w:rPr>
            </w:pPr>
          </w:p>
        </w:tc>
        <w:tc>
          <w:tcPr>
            <w:tcW w:w="1562" w:type="dxa"/>
            <w:vAlign w:val="bottom"/>
          </w:tcPr>
          <w:p w14:paraId="735803CF" w14:textId="6585B53B"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vAlign w:val="bottom"/>
          </w:tcPr>
          <w:p w14:paraId="53A2CA97" w14:textId="172B4DE5"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54" w:type="dxa"/>
            <w:vAlign w:val="bottom"/>
          </w:tcPr>
          <w:p w14:paraId="1183DF3A"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09" w:type="dxa"/>
            <w:vAlign w:val="bottom"/>
          </w:tcPr>
          <w:p w14:paraId="0B177290"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vAlign w:val="bottom"/>
          </w:tcPr>
          <w:p w14:paraId="1D92C486"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fldChar w:fldCharType="begin"/>
            </w:r>
            <w:r w:rsidRPr="00C80F8E">
              <w:rPr>
                <w:rFonts w:ascii="Abadi" w:hAnsi="Abadi" w:cstheme="minorHAnsi"/>
                <w:b/>
                <w:sz w:val="16"/>
                <w:szCs w:val="16"/>
                <w:lang w:val="es-ES_tradnl"/>
              </w:rPr>
              <w:instrText xml:space="preserve"> =SUM(LEFT) \# "#,##0.00" </w:instrText>
            </w:r>
            <w:r w:rsidRPr="00C80F8E">
              <w:rPr>
                <w:rFonts w:ascii="Abadi" w:hAnsi="Abadi" w:cstheme="minorHAnsi"/>
                <w:b/>
                <w:sz w:val="16"/>
                <w:szCs w:val="16"/>
                <w:lang w:val="es-ES_tradnl"/>
              </w:rPr>
              <w:fldChar w:fldCharType="separate"/>
            </w:r>
            <w:r w:rsidRPr="00C80F8E">
              <w:rPr>
                <w:rFonts w:ascii="Abadi" w:hAnsi="Abadi" w:cstheme="minorHAnsi"/>
                <w:b/>
                <w:noProof/>
                <w:sz w:val="16"/>
                <w:szCs w:val="16"/>
                <w:lang w:val="es-ES_tradnl"/>
              </w:rPr>
              <w:t xml:space="preserve">   0.00</w:t>
            </w:r>
            <w:r w:rsidRPr="00C80F8E">
              <w:rPr>
                <w:rFonts w:ascii="Abadi" w:hAnsi="Abadi" w:cstheme="minorHAnsi"/>
                <w:b/>
                <w:sz w:val="16"/>
                <w:szCs w:val="16"/>
                <w:lang w:val="es-ES_tradnl"/>
              </w:rPr>
              <w:fldChar w:fldCharType="end"/>
            </w:r>
          </w:p>
        </w:tc>
      </w:tr>
      <w:tr w:rsidR="00A473BD" w:rsidRPr="00C80F8E" w14:paraId="6C4FCD4E" w14:textId="77777777" w:rsidTr="00A473BD">
        <w:trPr>
          <w:trHeight w:val="109"/>
        </w:trPr>
        <w:tc>
          <w:tcPr>
            <w:tcW w:w="1568" w:type="dxa"/>
            <w:tcBorders>
              <w:bottom w:val="single" w:sz="4" w:space="0" w:color="auto"/>
            </w:tcBorders>
          </w:tcPr>
          <w:p w14:paraId="23BDAF25" w14:textId="77777777" w:rsidR="00A473BD" w:rsidRPr="00C80F8E" w:rsidRDefault="00A473BD" w:rsidP="008A4033">
            <w:pPr>
              <w:rPr>
                <w:rFonts w:ascii="Abadi" w:hAnsi="Abadi" w:cstheme="minorHAnsi"/>
                <w:bCs/>
                <w:sz w:val="16"/>
                <w:szCs w:val="16"/>
                <w:lang w:val="es-ES_tradnl"/>
              </w:rPr>
            </w:pPr>
            <w:r w:rsidRPr="00C80F8E">
              <w:rPr>
                <w:rFonts w:ascii="Abadi" w:hAnsi="Abadi" w:cstheme="minorHAnsi"/>
                <w:bCs/>
                <w:sz w:val="16"/>
                <w:szCs w:val="16"/>
                <w:lang w:val="es-ES_tradnl"/>
              </w:rPr>
              <w:t>Saldo al final del periodo</w:t>
            </w:r>
          </w:p>
        </w:tc>
        <w:tc>
          <w:tcPr>
            <w:tcW w:w="1410" w:type="dxa"/>
            <w:tcBorders>
              <w:bottom w:val="single" w:sz="12" w:space="0" w:color="auto"/>
            </w:tcBorders>
            <w:vAlign w:val="center"/>
          </w:tcPr>
          <w:p w14:paraId="3EF4D73D" w14:textId="77777777" w:rsidR="00A473BD" w:rsidRPr="00C80F8E" w:rsidRDefault="00A473BD" w:rsidP="008A4033">
            <w:pPr>
              <w:jc w:val="right"/>
              <w:rPr>
                <w:rFonts w:ascii="Abadi" w:hAnsi="Abadi" w:cstheme="minorHAnsi"/>
                <w:bCs/>
                <w:sz w:val="16"/>
                <w:szCs w:val="16"/>
                <w:lang w:val="es-ES_tradnl"/>
              </w:rPr>
            </w:pPr>
          </w:p>
          <w:p w14:paraId="51F20CDC"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562" w:type="dxa"/>
            <w:tcBorders>
              <w:bottom w:val="single" w:sz="12" w:space="0" w:color="auto"/>
            </w:tcBorders>
            <w:vAlign w:val="center"/>
          </w:tcPr>
          <w:p w14:paraId="4DE43B9F" w14:textId="77777777" w:rsidR="00A473BD" w:rsidRPr="00C80F8E" w:rsidRDefault="00A473BD" w:rsidP="008A4033">
            <w:pPr>
              <w:jc w:val="right"/>
              <w:rPr>
                <w:rFonts w:ascii="Abadi" w:hAnsi="Abadi" w:cstheme="minorHAnsi"/>
                <w:bCs/>
                <w:sz w:val="16"/>
                <w:szCs w:val="16"/>
                <w:lang w:val="es-ES_tradnl"/>
              </w:rPr>
            </w:pPr>
          </w:p>
          <w:p w14:paraId="47D02B96" w14:textId="503496D6"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w:t>
            </w:r>
            <w:r w:rsidRPr="00C80F8E">
              <w:rPr>
                <w:rFonts w:ascii="Abadi" w:hAnsi="Abadi" w:cstheme="minorHAnsi"/>
                <w:sz w:val="16"/>
                <w:szCs w:val="16"/>
                <w:lang w:val="es-ES_tradnl"/>
              </w:rPr>
              <w:t>35,523,078.05</w:t>
            </w:r>
            <w:r w:rsidRPr="00C80F8E">
              <w:rPr>
                <w:rFonts w:ascii="Abadi" w:hAnsi="Abadi" w:cstheme="minorHAnsi"/>
                <w:bCs/>
                <w:sz w:val="16"/>
                <w:szCs w:val="16"/>
                <w:lang w:val="es-ES_tradnl"/>
              </w:rPr>
              <w:t>)</w:t>
            </w:r>
          </w:p>
        </w:tc>
        <w:tc>
          <w:tcPr>
            <w:tcW w:w="1562" w:type="dxa"/>
            <w:tcBorders>
              <w:bottom w:val="single" w:sz="12" w:space="0" w:color="auto"/>
            </w:tcBorders>
            <w:vAlign w:val="center"/>
          </w:tcPr>
          <w:p w14:paraId="09AA87C0" w14:textId="77777777" w:rsidR="00A473BD" w:rsidRPr="00C80F8E" w:rsidRDefault="00A473BD" w:rsidP="008A4033">
            <w:pPr>
              <w:jc w:val="right"/>
              <w:rPr>
                <w:rFonts w:ascii="Abadi" w:hAnsi="Abadi" w:cstheme="minorHAnsi"/>
                <w:bCs/>
                <w:sz w:val="16"/>
                <w:szCs w:val="16"/>
                <w:lang w:val="es-ES_tradnl"/>
              </w:rPr>
            </w:pPr>
          </w:p>
          <w:p w14:paraId="4F3B37D0" w14:textId="7FC7FC72"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w:t>
            </w:r>
            <w:r w:rsidRPr="00C80F8E">
              <w:rPr>
                <w:rFonts w:ascii="Abadi" w:hAnsi="Abadi" w:cstheme="minorHAnsi"/>
                <w:sz w:val="16"/>
                <w:szCs w:val="16"/>
                <w:lang w:val="es-ES_tradnl"/>
              </w:rPr>
              <w:t>17,062,351.</w:t>
            </w:r>
            <w:r w:rsidR="00C7633B">
              <w:rPr>
                <w:rFonts w:ascii="Abadi" w:hAnsi="Abadi" w:cstheme="minorHAnsi"/>
                <w:sz w:val="16"/>
                <w:szCs w:val="16"/>
                <w:lang w:val="es-ES_tradnl"/>
              </w:rPr>
              <w:t>0</w:t>
            </w:r>
            <w:r w:rsidRPr="00C80F8E">
              <w:rPr>
                <w:rFonts w:ascii="Abadi" w:hAnsi="Abadi" w:cstheme="minorHAnsi"/>
                <w:sz w:val="16"/>
                <w:szCs w:val="16"/>
                <w:lang w:val="es-ES_tradnl"/>
              </w:rPr>
              <w:t>2</w:t>
            </w:r>
            <w:r w:rsidRPr="00C80F8E">
              <w:rPr>
                <w:rFonts w:ascii="Abadi" w:hAnsi="Abadi" w:cstheme="minorHAnsi"/>
                <w:bCs/>
                <w:sz w:val="16"/>
                <w:szCs w:val="16"/>
                <w:lang w:val="es-ES_tradnl"/>
              </w:rPr>
              <w:t>)</w:t>
            </w:r>
          </w:p>
        </w:tc>
        <w:tc>
          <w:tcPr>
            <w:tcW w:w="1562" w:type="dxa"/>
            <w:tcBorders>
              <w:bottom w:val="single" w:sz="12" w:space="0" w:color="auto"/>
            </w:tcBorders>
            <w:vAlign w:val="bottom"/>
          </w:tcPr>
          <w:p w14:paraId="668CECAF" w14:textId="5458B9AE"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(24,748,332.64</w:t>
            </w:r>
          </w:p>
        </w:tc>
        <w:tc>
          <w:tcPr>
            <w:tcW w:w="1562" w:type="dxa"/>
            <w:tcBorders>
              <w:bottom w:val="single" w:sz="12" w:space="0" w:color="auto"/>
            </w:tcBorders>
            <w:vAlign w:val="center"/>
          </w:tcPr>
          <w:p w14:paraId="55867438" w14:textId="77777777" w:rsidR="00A473BD" w:rsidRPr="00C80F8E" w:rsidRDefault="00A473BD" w:rsidP="008A4033">
            <w:pPr>
              <w:jc w:val="right"/>
              <w:rPr>
                <w:rFonts w:ascii="Abadi" w:hAnsi="Abadi" w:cstheme="minorHAnsi"/>
                <w:bCs/>
                <w:sz w:val="16"/>
                <w:szCs w:val="16"/>
                <w:lang w:val="es-ES_tradnl"/>
              </w:rPr>
            </w:pPr>
          </w:p>
          <w:p w14:paraId="649F308F" w14:textId="6C8AEEF1"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w:t>
            </w:r>
            <w:r w:rsidRPr="00C80F8E">
              <w:rPr>
                <w:rFonts w:ascii="Abadi" w:hAnsi="Abadi" w:cstheme="minorHAnsi"/>
                <w:sz w:val="16"/>
                <w:szCs w:val="16"/>
                <w:lang w:val="es-ES_tradnl"/>
              </w:rPr>
              <w:t>4,604,396.</w:t>
            </w:r>
            <w:r w:rsidR="00335779">
              <w:rPr>
                <w:rFonts w:ascii="Abadi" w:hAnsi="Abadi" w:cstheme="minorHAnsi"/>
                <w:sz w:val="16"/>
                <w:szCs w:val="16"/>
                <w:lang w:val="es-ES_tradnl"/>
              </w:rPr>
              <w:t>92</w:t>
            </w:r>
            <w:r w:rsidRPr="00C80F8E">
              <w:rPr>
                <w:rFonts w:ascii="Abadi" w:hAnsi="Abadi" w:cstheme="minorHAnsi"/>
                <w:bCs/>
                <w:sz w:val="16"/>
                <w:szCs w:val="16"/>
                <w:lang w:val="es-ES_tradnl"/>
              </w:rPr>
              <w:t>)</w:t>
            </w:r>
          </w:p>
        </w:tc>
        <w:tc>
          <w:tcPr>
            <w:tcW w:w="1562" w:type="dxa"/>
            <w:tcBorders>
              <w:bottom w:val="single" w:sz="12" w:space="0" w:color="auto"/>
            </w:tcBorders>
            <w:vAlign w:val="bottom"/>
          </w:tcPr>
          <w:p w14:paraId="1824F7C1" w14:textId="160310AB"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(12,210,47</w:t>
            </w:r>
            <w:r w:rsidR="001F6ECB">
              <w:rPr>
                <w:rFonts w:ascii="Abadi" w:hAnsi="Abadi" w:cstheme="minorHAnsi"/>
                <w:bCs/>
                <w:sz w:val="16"/>
                <w:szCs w:val="16"/>
                <w:lang w:val="es-ES_tradnl"/>
              </w:rPr>
              <w:t>8</w:t>
            </w:r>
            <w:r w:rsidRPr="00C80F8E">
              <w:rPr>
                <w:rFonts w:ascii="Abadi" w:hAnsi="Abadi" w:cstheme="minorHAnsi"/>
                <w:bCs/>
                <w:sz w:val="16"/>
                <w:szCs w:val="16"/>
                <w:lang w:val="es-ES_tradnl"/>
              </w:rPr>
              <w:t>.3</w:t>
            </w:r>
            <w:r w:rsidR="00415498">
              <w:rPr>
                <w:rFonts w:ascii="Abadi" w:hAnsi="Abadi" w:cstheme="minorHAnsi"/>
                <w:bCs/>
                <w:sz w:val="16"/>
                <w:szCs w:val="16"/>
                <w:lang w:val="es-ES_tradnl"/>
              </w:rPr>
              <w:t>7</w:t>
            </w:r>
            <w:r w:rsidRPr="00C80F8E">
              <w:rPr>
                <w:rFonts w:ascii="Abadi" w:hAnsi="Abadi" w:cstheme="minorHAnsi"/>
                <w:bCs/>
                <w:sz w:val="16"/>
                <w:szCs w:val="16"/>
                <w:lang w:val="es-ES_tradnl"/>
              </w:rPr>
              <w:t>)</w:t>
            </w:r>
          </w:p>
        </w:tc>
        <w:tc>
          <w:tcPr>
            <w:tcW w:w="1454" w:type="dxa"/>
            <w:tcBorders>
              <w:bottom w:val="single" w:sz="12" w:space="0" w:color="auto"/>
            </w:tcBorders>
            <w:vAlign w:val="center"/>
          </w:tcPr>
          <w:p w14:paraId="029B1254" w14:textId="77777777" w:rsidR="00A473BD" w:rsidRPr="00C80F8E" w:rsidRDefault="00A473BD" w:rsidP="008A4033">
            <w:pPr>
              <w:jc w:val="right"/>
              <w:rPr>
                <w:rFonts w:ascii="Abadi" w:hAnsi="Abadi" w:cstheme="minorHAnsi"/>
                <w:bCs/>
                <w:sz w:val="16"/>
                <w:szCs w:val="16"/>
                <w:lang w:val="es-ES_tradnl"/>
              </w:rPr>
            </w:pPr>
          </w:p>
          <w:p w14:paraId="121AE467"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w:t>
            </w:r>
            <w:r w:rsidRPr="00C80F8E">
              <w:rPr>
                <w:rFonts w:ascii="Abadi" w:hAnsi="Abadi" w:cstheme="minorHAnsi"/>
                <w:sz w:val="16"/>
                <w:szCs w:val="16"/>
                <w:lang w:val="es-ES_tradnl"/>
              </w:rPr>
              <w:t>0.00</w:t>
            </w:r>
            <w:r w:rsidRPr="00C80F8E">
              <w:rPr>
                <w:rFonts w:ascii="Abadi" w:hAnsi="Abadi" w:cstheme="minorHAnsi"/>
                <w:bCs/>
                <w:sz w:val="16"/>
                <w:szCs w:val="16"/>
                <w:lang w:val="es-ES_tradnl"/>
              </w:rPr>
              <w:t>)</w:t>
            </w:r>
          </w:p>
        </w:tc>
        <w:tc>
          <w:tcPr>
            <w:tcW w:w="1409" w:type="dxa"/>
            <w:tcBorders>
              <w:bottom w:val="single" w:sz="12" w:space="0" w:color="auto"/>
            </w:tcBorders>
            <w:vAlign w:val="center"/>
          </w:tcPr>
          <w:p w14:paraId="2CB90CA0" w14:textId="77777777" w:rsidR="00A473BD" w:rsidRPr="00C80F8E" w:rsidRDefault="00A473BD" w:rsidP="008A4033">
            <w:pPr>
              <w:jc w:val="center"/>
              <w:rPr>
                <w:rFonts w:ascii="Abadi" w:hAnsi="Abadi" w:cstheme="minorHAnsi"/>
                <w:bCs/>
                <w:sz w:val="16"/>
                <w:szCs w:val="16"/>
                <w:lang w:val="es-ES_tradnl"/>
              </w:rPr>
            </w:pPr>
          </w:p>
          <w:p w14:paraId="5226325C" w14:textId="77777777" w:rsidR="00A473BD" w:rsidRPr="00C80F8E" w:rsidRDefault="00A473BD" w:rsidP="008A4033">
            <w:pPr>
              <w:jc w:val="right"/>
              <w:rPr>
                <w:rFonts w:ascii="Abadi" w:hAnsi="Abadi" w:cstheme="minorHAnsi"/>
                <w:bCs/>
                <w:sz w:val="16"/>
                <w:szCs w:val="16"/>
                <w:lang w:val="es-ES_tradnl"/>
              </w:rPr>
            </w:pPr>
            <w:r w:rsidRPr="00C80F8E">
              <w:rPr>
                <w:rFonts w:ascii="Abadi" w:hAnsi="Abadi" w:cstheme="minorHAnsi"/>
                <w:bCs/>
                <w:sz w:val="16"/>
                <w:szCs w:val="16"/>
                <w:lang w:val="es-ES_tradnl"/>
              </w:rPr>
              <w:t>(00.0)</w:t>
            </w:r>
          </w:p>
        </w:tc>
        <w:tc>
          <w:tcPr>
            <w:tcW w:w="1469" w:type="dxa"/>
            <w:tcBorders>
              <w:bottom w:val="single" w:sz="12" w:space="0" w:color="auto"/>
            </w:tcBorders>
            <w:vAlign w:val="bottom"/>
          </w:tcPr>
          <w:p w14:paraId="1E66E444" w14:textId="75690B7D"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(94,148,63</w:t>
            </w:r>
            <w:r w:rsidR="00D850A6">
              <w:rPr>
                <w:rFonts w:ascii="Abadi" w:hAnsi="Abadi" w:cstheme="minorHAnsi"/>
                <w:b/>
                <w:sz w:val="16"/>
                <w:szCs w:val="16"/>
                <w:lang w:val="es-ES_tradnl"/>
              </w:rPr>
              <w:t>6.71</w:t>
            </w:r>
            <w:r w:rsidRPr="00C80F8E">
              <w:rPr>
                <w:rFonts w:ascii="Abadi" w:hAnsi="Abadi" w:cstheme="minorHAnsi"/>
                <w:b/>
                <w:sz w:val="16"/>
                <w:szCs w:val="16"/>
                <w:lang w:val="es-ES_tradnl"/>
              </w:rPr>
              <w:t>)</w:t>
            </w:r>
          </w:p>
        </w:tc>
      </w:tr>
      <w:tr w:rsidR="00A473BD" w:rsidRPr="00C80F8E" w14:paraId="3D993F17" w14:textId="77777777" w:rsidTr="00A473BD">
        <w:trPr>
          <w:trHeight w:val="733"/>
        </w:trPr>
        <w:tc>
          <w:tcPr>
            <w:tcW w:w="1568" w:type="dxa"/>
            <w:tcBorders>
              <w:bottom w:val="double" w:sz="4" w:space="0" w:color="auto"/>
            </w:tcBorders>
            <w:shd w:val="clear" w:color="auto" w:fill="FFFFFF" w:themeFill="background1"/>
            <w:vAlign w:val="bottom"/>
          </w:tcPr>
          <w:p w14:paraId="4C8429EA" w14:textId="767591BE" w:rsidR="00A473BD" w:rsidRPr="00C80F8E" w:rsidRDefault="00A473BD" w:rsidP="008A4033">
            <w:pPr>
              <w:rPr>
                <w:rFonts w:ascii="Abadi" w:hAnsi="Abadi" w:cstheme="minorHAnsi"/>
                <w:b/>
                <w:sz w:val="16"/>
                <w:szCs w:val="16"/>
                <w:lang w:val="es-ES_tradnl"/>
              </w:rPr>
            </w:pPr>
            <w:r w:rsidRPr="00C80F8E">
              <w:rPr>
                <w:rFonts w:ascii="Abadi" w:hAnsi="Abadi" w:cstheme="minorHAnsi"/>
                <w:b/>
                <w:sz w:val="16"/>
                <w:szCs w:val="16"/>
                <w:lang w:val="es-ES_tradnl"/>
              </w:rPr>
              <w:t xml:space="preserve">Propiedad, planta y equipos neto          </w:t>
            </w:r>
            <w:proofErr w:type="gramStart"/>
            <w:r w:rsidRPr="00C80F8E">
              <w:rPr>
                <w:rFonts w:ascii="Abadi" w:hAnsi="Abadi" w:cstheme="minorHAnsi"/>
                <w:b/>
                <w:sz w:val="16"/>
                <w:szCs w:val="16"/>
                <w:lang w:val="es-ES_tradnl"/>
              </w:rPr>
              <w:t xml:space="preserve">   (</w:t>
            </w:r>
            <w:proofErr w:type="gramEnd"/>
            <w:r w:rsidRPr="00C80F8E">
              <w:rPr>
                <w:rFonts w:ascii="Abadi" w:hAnsi="Abadi" w:cstheme="minorHAnsi"/>
                <w:b/>
                <w:sz w:val="16"/>
                <w:szCs w:val="16"/>
                <w:lang w:val="es-ES_tradnl"/>
              </w:rPr>
              <w:t>junio 2025)</w:t>
            </w:r>
          </w:p>
        </w:tc>
        <w:tc>
          <w:tcPr>
            <w:tcW w:w="1410" w:type="dxa"/>
            <w:tcBorders>
              <w:top w:val="single" w:sz="12" w:space="0" w:color="auto"/>
              <w:bottom w:val="double" w:sz="4" w:space="0" w:color="auto"/>
            </w:tcBorders>
            <w:shd w:val="clear" w:color="auto" w:fill="FFFFFF" w:themeFill="background1"/>
            <w:vAlign w:val="bottom"/>
          </w:tcPr>
          <w:p w14:paraId="0548C429"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35,297,293.88</w:t>
            </w:r>
          </w:p>
        </w:tc>
        <w:tc>
          <w:tcPr>
            <w:tcW w:w="1562" w:type="dxa"/>
            <w:tcBorders>
              <w:top w:val="single" w:sz="12" w:space="0" w:color="auto"/>
              <w:bottom w:val="double" w:sz="4" w:space="0" w:color="auto"/>
            </w:tcBorders>
            <w:shd w:val="clear" w:color="auto" w:fill="FFFFFF" w:themeFill="background1"/>
            <w:vAlign w:val="bottom"/>
          </w:tcPr>
          <w:p w14:paraId="539A1DAE" w14:textId="2D080284"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59,538,695.90</w:t>
            </w:r>
          </w:p>
        </w:tc>
        <w:tc>
          <w:tcPr>
            <w:tcW w:w="1562" w:type="dxa"/>
            <w:tcBorders>
              <w:top w:val="single" w:sz="12" w:space="0" w:color="auto"/>
              <w:bottom w:val="double" w:sz="4" w:space="0" w:color="auto"/>
            </w:tcBorders>
            <w:shd w:val="clear" w:color="auto" w:fill="FFFFFF" w:themeFill="background1"/>
            <w:vAlign w:val="bottom"/>
          </w:tcPr>
          <w:p w14:paraId="6A1ED60E" w14:textId="15F37990"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5,161,215</w:t>
            </w:r>
            <w:r w:rsidR="00C7633B">
              <w:rPr>
                <w:rFonts w:ascii="Abadi" w:hAnsi="Abadi" w:cstheme="minorHAnsi"/>
                <w:b/>
                <w:sz w:val="16"/>
                <w:szCs w:val="16"/>
                <w:lang w:val="es-ES_tradnl"/>
              </w:rPr>
              <w:t>.34</w:t>
            </w:r>
          </w:p>
        </w:tc>
        <w:tc>
          <w:tcPr>
            <w:tcW w:w="1562" w:type="dxa"/>
            <w:tcBorders>
              <w:top w:val="single" w:sz="12" w:space="0" w:color="auto"/>
              <w:bottom w:val="double" w:sz="4" w:space="0" w:color="auto"/>
            </w:tcBorders>
            <w:shd w:val="clear" w:color="auto" w:fill="FFFFFF" w:themeFill="background1"/>
            <w:vAlign w:val="bottom"/>
          </w:tcPr>
          <w:p w14:paraId="1941D573" w14:textId="2435AF23"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16,580,402.20</w:t>
            </w:r>
          </w:p>
        </w:tc>
        <w:tc>
          <w:tcPr>
            <w:tcW w:w="1562" w:type="dxa"/>
            <w:tcBorders>
              <w:top w:val="single" w:sz="12" w:space="0" w:color="auto"/>
              <w:bottom w:val="double" w:sz="4" w:space="0" w:color="auto"/>
            </w:tcBorders>
            <w:shd w:val="clear" w:color="auto" w:fill="FFFFFF" w:themeFill="background1"/>
            <w:vAlign w:val="bottom"/>
          </w:tcPr>
          <w:p w14:paraId="6CEA8097" w14:textId="000AEB22"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132,969.</w:t>
            </w:r>
            <w:r w:rsidR="00E42EAF">
              <w:rPr>
                <w:rFonts w:ascii="Abadi" w:hAnsi="Abadi" w:cstheme="minorHAnsi"/>
                <w:b/>
                <w:sz w:val="16"/>
                <w:szCs w:val="16"/>
                <w:lang w:val="es-ES_tradnl"/>
              </w:rPr>
              <w:t>20</w:t>
            </w:r>
          </w:p>
        </w:tc>
        <w:tc>
          <w:tcPr>
            <w:tcW w:w="1562" w:type="dxa"/>
            <w:tcBorders>
              <w:top w:val="single" w:sz="12" w:space="0" w:color="auto"/>
              <w:bottom w:val="double" w:sz="4" w:space="0" w:color="auto"/>
            </w:tcBorders>
            <w:shd w:val="clear" w:color="auto" w:fill="FFFFFF" w:themeFill="background1"/>
            <w:vAlign w:val="bottom"/>
          </w:tcPr>
          <w:p w14:paraId="5A716C4F" w14:textId="175E4485"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11,251,23</w:t>
            </w:r>
            <w:r w:rsidR="00415498">
              <w:rPr>
                <w:rFonts w:ascii="Abadi" w:hAnsi="Abadi" w:cstheme="minorHAnsi"/>
                <w:b/>
                <w:sz w:val="16"/>
                <w:szCs w:val="16"/>
                <w:lang w:val="es-ES_tradnl"/>
              </w:rPr>
              <w:t>5</w:t>
            </w:r>
            <w:r w:rsidRPr="00C80F8E">
              <w:rPr>
                <w:rFonts w:ascii="Abadi" w:hAnsi="Abadi" w:cstheme="minorHAnsi"/>
                <w:b/>
                <w:sz w:val="16"/>
                <w:szCs w:val="16"/>
                <w:lang w:val="es-ES_tradnl"/>
              </w:rPr>
              <w:t>.</w:t>
            </w:r>
            <w:r w:rsidR="00415498">
              <w:rPr>
                <w:rFonts w:ascii="Abadi" w:hAnsi="Abadi" w:cstheme="minorHAnsi"/>
                <w:b/>
                <w:sz w:val="16"/>
                <w:szCs w:val="16"/>
                <w:lang w:val="es-ES_tradnl"/>
              </w:rPr>
              <w:t>26</w:t>
            </w:r>
          </w:p>
        </w:tc>
        <w:tc>
          <w:tcPr>
            <w:tcW w:w="1454" w:type="dxa"/>
            <w:tcBorders>
              <w:top w:val="single" w:sz="12" w:space="0" w:color="auto"/>
              <w:bottom w:val="double" w:sz="4" w:space="0" w:color="auto"/>
            </w:tcBorders>
            <w:shd w:val="clear" w:color="auto" w:fill="FFFFFF" w:themeFill="background1"/>
            <w:vAlign w:val="bottom"/>
          </w:tcPr>
          <w:p w14:paraId="7A94F77E" w14:textId="77777777"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2,597,093.00</w:t>
            </w:r>
          </w:p>
        </w:tc>
        <w:tc>
          <w:tcPr>
            <w:tcW w:w="1409" w:type="dxa"/>
            <w:tcBorders>
              <w:top w:val="single" w:sz="12" w:space="0" w:color="auto"/>
              <w:bottom w:val="double" w:sz="4" w:space="0" w:color="auto"/>
            </w:tcBorders>
            <w:shd w:val="clear" w:color="auto" w:fill="FFFFFF" w:themeFill="background1"/>
            <w:vAlign w:val="bottom"/>
          </w:tcPr>
          <w:p w14:paraId="3FE78C7E" w14:textId="42C08F5C"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37,779,409.</w:t>
            </w:r>
            <w:r w:rsidR="00371D7C">
              <w:rPr>
                <w:rFonts w:ascii="Abadi" w:hAnsi="Abadi" w:cstheme="minorHAnsi"/>
                <w:b/>
                <w:sz w:val="16"/>
                <w:szCs w:val="16"/>
                <w:lang w:val="es-ES_tradnl"/>
              </w:rPr>
              <w:t>50</w:t>
            </w:r>
          </w:p>
        </w:tc>
        <w:tc>
          <w:tcPr>
            <w:tcW w:w="1469" w:type="dxa"/>
            <w:tcBorders>
              <w:top w:val="single" w:sz="12" w:space="0" w:color="auto"/>
              <w:bottom w:val="double" w:sz="4" w:space="0" w:color="auto"/>
            </w:tcBorders>
            <w:shd w:val="clear" w:color="auto" w:fill="FFFFFF" w:themeFill="background1"/>
            <w:vAlign w:val="bottom"/>
          </w:tcPr>
          <w:p w14:paraId="31059105" w14:textId="4A8FCE61" w:rsidR="00A473BD" w:rsidRPr="00C80F8E" w:rsidRDefault="00A473BD" w:rsidP="008A4033">
            <w:pPr>
              <w:jc w:val="right"/>
              <w:rPr>
                <w:rFonts w:ascii="Abadi" w:hAnsi="Abadi" w:cstheme="minorHAnsi"/>
                <w:b/>
                <w:sz w:val="16"/>
                <w:szCs w:val="16"/>
                <w:lang w:val="es-ES_tradnl"/>
              </w:rPr>
            </w:pPr>
            <w:r w:rsidRPr="00C80F8E">
              <w:rPr>
                <w:rFonts w:ascii="Abadi" w:hAnsi="Abadi" w:cstheme="minorHAnsi"/>
                <w:b/>
                <w:sz w:val="16"/>
                <w:szCs w:val="16"/>
                <w:lang w:val="es-ES_tradnl"/>
              </w:rPr>
              <w:t>168,338,31</w:t>
            </w:r>
            <w:r w:rsidR="003B7502">
              <w:rPr>
                <w:rFonts w:ascii="Abadi" w:hAnsi="Abadi" w:cstheme="minorHAnsi"/>
                <w:b/>
                <w:sz w:val="16"/>
                <w:szCs w:val="16"/>
                <w:lang w:val="es-ES_tradnl"/>
              </w:rPr>
              <w:t>4.66</w:t>
            </w:r>
          </w:p>
        </w:tc>
      </w:tr>
    </w:tbl>
    <w:p w14:paraId="09F791A2" w14:textId="77777777" w:rsidR="00575F0A" w:rsidRPr="00C80F8E" w:rsidRDefault="00575F0A" w:rsidP="00575F0A">
      <w:pPr>
        <w:ind w:left="-142"/>
        <w:rPr>
          <w:rFonts w:ascii="Abadi" w:hAnsi="Abadi" w:cstheme="minorHAnsi"/>
          <w:b/>
          <w:sz w:val="20"/>
          <w:szCs w:val="20"/>
          <w:lang w:val="es-ES_tradnl"/>
        </w:rPr>
      </w:pPr>
    </w:p>
    <w:p w14:paraId="2705E7B9" w14:textId="536E680E" w:rsidR="004B0C3A" w:rsidRDefault="00EC0ADA" w:rsidP="008D4971">
      <w:pPr>
        <w:spacing w:line="360" w:lineRule="auto"/>
        <w:jc w:val="both"/>
        <w:rPr>
          <w:rFonts w:ascii="Calibri" w:eastAsia="Times New Roman" w:hAnsi="Calibri" w:cs="Calibri"/>
          <w:color w:val="000000"/>
          <w:sz w:val="20"/>
          <w:szCs w:val="20"/>
          <w:lang w:val="es-DO" w:eastAsia="es-DO"/>
        </w:rPr>
      </w:pPr>
      <w:r w:rsidRPr="00EC0ADA">
        <w:rPr>
          <w:rFonts w:ascii="Calibri" w:eastAsia="Times New Roman" w:hAnsi="Calibri" w:cs="Calibri"/>
          <w:color w:val="000000"/>
          <w:sz w:val="20"/>
          <w:szCs w:val="20"/>
          <w:lang w:val="es-DO" w:eastAsia="es-DO"/>
        </w:rPr>
        <w:t>Es importante destacar que, en presentaciones anteriores de los estados financieros, los elementos “Equipos de Cómputo” y “Maquinarias y Equipos” eran presentados de forma agrupada bajo una misma línea. No obstante, se ha adoptado una desagregación de estas categorías, con el objetivo de mejorar la transparencia y precisión en la presentación de la información financiera. Esta reclasificación permite una mejor identificación y control de los activos tecnológicos frente a los activos productivos y operacionales, facilitando así el análisis contable y la toma de decisiones en la gestión institucional.</w:t>
      </w:r>
    </w:p>
    <w:p w14:paraId="1EB6A497" w14:textId="55AD1E26" w:rsidR="00824021" w:rsidRPr="00824021" w:rsidRDefault="00E10D27" w:rsidP="008D4971">
      <w:pPr>
        <w:spacing w:line="360" w:lineRule="auto"/>
        <w:jc w:val="both"/>
        <w:rPr>
          <w:rFonts w:ascii="Abadi" w:hAnsi="Abadi" w:cstheme="minorHAnsi"/>
          <w:iCs/>
          <w:sz w:val="20"/>
          <w:szCs w:val="20"/>
          <w:lang w:val="es-DO"/>
        </w:rPr>
      </w:pPr>
      <w:r>
        <w:rPr>
          <w:rFonts w:ascii="Abadi" w:hAnsi="Abadi" w:cstheme="minorHAnsi"/>
          <w:iCs/>
          <w:sz w:val="20"/>
          <w:szCs w:val="20"/>
          <w:lang w:val="es-DO"/>
        </w:rPr>
        <w:t>E</w:t>
      </w:r>
      <w:r w:rsidR="00824021" w:rsidRPr="00824021">
        <w:rPr>
          <w:rFonts w:ascii="Abadi" w:hAnsi="Abadi" w:cstheme="minorHAnsi"/>
          <w:iCs/>
          <w:sz w:val="20"/>
          <w:szCs w:val="20"/>
          <w:lang w:val="es-DO"/>
        </w:rPr>
        <w:t>l elemento correspondiente a Construcción en Proceso refleja una reclasificación contable realizada durante el período, mediante la cual determinadas obras previamente registradas como en proceso fueron concluidas e incorporadas al elemento de Edificaciones, conforme al criterio de capitalización establecido por las políticas contables de la entidad. Asimismo, se incluyeron nuevas obras clasificadas como “Obras para Edificaciones no Residenciales.</w:t>
      </w:r>
    </w:p>
    <w:p w14:paraId="5524D70B" w14:textId="77777777" w:rsidR="004B0C3A" w:rsidRPr="00C80F8E" w:rsidRDefault="004B0C3A">
      <w:pPr>
        <w:rPr>
          <w:rFonts w:ascii="Abadi" w:hAnsi="Abadi" w:cstheme="minorHAnsi"/>
          <w:b/>
          <w:iCs/>
          <w:sz w:val="20"/>
          <w:szCs w:val="20"/>
          <w:lang w:val="es-ES_tradnl"/>
        </w:rPr>
      </w:pPr>
      <w:r w:rsidRPr="00C80F8E">
        <w:rPr>
          <w:rFonts w:ascii="Abadi" w:hAnsi="Abadi" w:cstheme="minorHAnsi"/>
          <w:b/>
          <w:iCs/>
          <w:sz w:val="20"/>
          <w:szCs w:val="20"/>
          <w:lang w:val="es-ES_tradnl"/>
        </w:rPr>
        <w:br w:type="page"/>
      </w:r>
    </w:p>
    <w:p w14:paraId="41C2C0A3" w14:textId="77777777" w:rsidR="00B80ED2" w:rsidRPr="00C80F8E" w:rsidRDefault="00B80ED2" w:rsidP="008D4971">
      <w:pPr>
        <w:spacing w:line="360" w:lineRule="auto"/>
        <w:jc w:val="both"/>
        <w:rPr>
          <w:rFonts w:ascii="Abadi" w:hAnsi="Abadi" w:cstheme="minorHAnsi"/>
          <w:b/>
          <w:iCs/>
          <w:sz w:val="20"/>
          <w:szCs w:val="20"/>
          <w:lang w:val="es-ES_tradnl"/>
        </w:rPr>
        <w:sectPr w:rsidR="00B80ED2" w:rsidRPr="00C80F8E" w:rsidSect="004B0C3A">
          <w:pgSz w:w="15840" w:h="12240" w:orient="landscape" w:code="1"/>
          <w:pgMar w:top="1440" w:right="794" w:bottom="1440" w:left="794" w:header="284" w:footer="720" w:gutter="0"/>
          <w:cols w:space="720"/>
          <w:docGrid w:linePitch="360"/>
        </w:sectPr>
      </w:pPr>
    </w:p>
    <w:p w14:paraId="69948896" w14:textId="77777777" w:rsidR="001B6097" w:rsidRPr="00C80F8E" w:rsidRDefault="001B6097" w:rsidP="000647C7">
      <w:pPr>
        <w:pStyle w:val="Prrafodelista"/>
        <w:ind w:left="-76"/>
        <w:rPr>
          <w:rFonts w:ascii="Abadi" w:hAnsi="Abadi" w:cstheme="minorHAnsi"/>
          <w:bCs/>
          <w:sz w:val="20"/>
          <w:szCs w:val="20"/>
          <w:lang w:val="es-ES_tradnl"/>
        </w:rPr>
      </w:pPr>
    </w:p>
    <w:p w14:paraId="11CC6834" w14:textId="77777777" w:rsidR="00793998" w:rsidRPr="00C80F8E" w:rsidRDefault="00793998" w:rsidP="00543319">
      <w:pPr>
        <w:spacing w:line="240" w:lineRule="auto"/>
        <w:contextualSpacing/>
        <w:jc w:val="both"/>
        <w:rPr>
          <w:rFonts w:ascii="Abadi" w:hAnsi="Abadi" w:cstheme="minorHAnsi"/>
          <w:b/>
          <w:iCs/>
          <w:sz w:val="20"/>
          <w:szCs w:val="20"/>
          <w:lang w:val="es-ES_tradnl"/>
        </w:rPr>
      </w:pPr>
    </w:p>
    <w:p w14:paraId="073A35BF" w14:textId="20344F21" w:rsidR="008D4971" w:rsidRPr="00C80F8E" w:rsidRDefault="00E55F33" w:rsidP="008D4971">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1</w:t>
      </w:r>
      <w:r w:rsidR="001B6097" w:rsidRPr="00C80F8E">
        <w:rPr>
          <w:rFonts w:ascii="Abadi" w:hAnsi="Abadi" w:cstheme="minorHAnsi"/>
          <w:b/>
          <w:iCs/>
          <w:sz w:val="20"/>
          <w:szCs w:val="20"/>
          <w:lang w:val="es-ES_tradnl"/>
        </w:rPr>
        <w:t>2</w:t>
      </w:r>
      <w:r w:rsidRPr="00C80F8E">
        <w:rPr>
          <w:rFonts w:ascii="Abadi" w:hAnsi="Abadi" w:cstheme="minorHAnsi"/>
          <w:b/>
          <w:iCs/>
          <w:sz w:val="20"/>
          <w:szCs w:val="20"/>
          <w:lang w:val="es-ES_tradnl"/>
        </w:rPr>
        <w:t xml:space="preserve">.1 </w:t>
      </w:r>
      <w:r w:rsidR="008D4971" w:rsidRPr="00C80F8E">
        <w:rPr>
          <w:rFonts w:ascii="Abadi" w:hAnsi="Abadi" w:cstheme="minorHAnsi"/>
          <w:b/>
          <w:iCs/>
          <w:sz w:val="20"/>
          <w:szCs w:val="20"/>
          <w:lang w:val="es-ES_tradnl"/>
        </w:rPr>
        <w:t>Terrenos</w:t>
      </w:r>
    </w:p>
    <w:p w14:paraId="1EF5F4E1" w14:textId="5B137AEA" w:rsidR="004A55DC" w:rsidRPr="00C80F8E" w:rsidRDefault="00A65BEE" w:rsidP="004A55DC">
      <w:pPr>
        <w:spacing w:line="360" w:lineRule="auto"/>
        <w:jc w:val="both"/>
        <w:rPr>
          <w:rFonts w:ascii="Abadi" w:hAnsi="Abadi"/>
          <w:bCs/>
          <w:iCs/>
          <w:sz w:val="20"/>
          <w:szCs w:val="20"/>
          <w:lang w:val="es-ES_tradnl"/>
        </w:rPr>
      </w:pPr>
      <w:r w:rsidRPr="00C80F8E">
        <w:rPr>
          <w:rFonts w:ascii="Abadi" w:hAnsi="Abadi"/>
          <w:bCs/>
          <w:iCs/>
          <w:sz w:val="20"/>
          <w:szCs w:val="20"/>
          <w:lang w:val="es-ES_tradnl" w:eastAsia="es-ES"/>
        </w:rPr>
        <w:t>Al 30 de junio de 2025, el valor registrado del terreno en los estados financieros asciende a RD$35,297,293.88, valor que se mantiene sin variación respecto al registrado al 30 de junio de 2024. Por tanto, no se presenta variación absoluta ni relativa en este rubro.</w:t>
      </w:r>
      <w:r w:rsidR="004A55DC" w:rsidRPr="00C80F8E">
        <w:rPr>
          <w:rStyle w:val="CarCar"/>
          <w:rFonts w:ascii="Abadi" w:hAnsi="Abadi" w:cs="Times New Roman"/>
          <w:bCs w:val="0"/>
          <w:iCs/>
          <w:sz w:val="20"/>
          <w:szCs w:val="20"/>
          <w:lang w:val="es-ES_tradnl"/>
        </w:rPr>
        <w:t xml:space="preserve">, </w:t>
      </w:r>
      <w:r w:rsidR="004A55DC" w:rsidRPr="00C80F8E">
        <w:rPr>
          <w:rFonts w:ascii="Abadi" w:hAnsi="Abadi"/>
          <w:bCs/>
          <w:iCs/>
          <w:sz w:val="20"/>
          <w:szCs w:val="20"/>
          <w:lang w:val="es-ES_tradnl"/>
        </w:rPr>
        <w:t>los balances de las cuentas de Activos No Financieros consisten en:</w:t>
      </w:r>
    </w:p>
    <w:p w14:paraId="5CC01D86" w14:textId="77777777" w:rsidR="004A55DC" w:rsidRPr="00C80F8E" w:rsidRDefault="004A55DC" w:rsidP="004A55DC">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Terrenos</w:t>
      </w:r>
    </w:p>
    <w:tbl>
      <w:tblPr>
        <w:tblStyle w:val="Tablaconcuadrcula"/>
        <w:tblW w:w="0" w:type="auto"/>
        <w:tblInd w:w="66" w:type="dxa"/>
        <w:tblLook w:val="04A0" w:firstRow="1" w:lastRow="0" w:firstColumn="1" w:lastColumn="0" w:noHBand="0" w:noVBand="1"/>
      </w:tblPr>
      <w:tblGrid>
        <w:gridCol w:w="4867"/>
        <w:gridCol w:w="2257"/>
        <w:gridCol w:w="2114"/>
      </w:tblGrid>
      <w:tr w:rsidR="004A55DC" w:rsidRPr="00C80F8E" w14:paraId="3BA08B14" w14:textId="77777777" w:rsidTr="00F07000">
        <w:trPr>
          <w:trHeight w:val="258"/>
        </w:trPr>
        <w:tc>
          <w:tcPr>
            <w:tcW w:w="4867" w:type="dxa"/>
            <w:shd w:val="clear" w:color="auto" w:fill="0070C0"/>
          </w:tcPr>
          <w:p w14:paraId="513989F3" w14:textId="77777777" w:rsidR="004A55DC" w:rsidRPr="00C80F8E" w:rsidRDefault="004A55DC"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57" w:type="dxa"/>
            <w:tcBorders>
              <w:bottom w:val="single" w:sz="4" w:space="0" w:color="auto"/>
            </w:tcBorders>
            <w:shd w:val="clear" w:color="auto" w:fill="0070C0"/>
          </w:tcPr>
          <w:p w14:paraId="276E1B2D" w14:textId="732449E0" w:rsidR="004A55DC" w:rsidRPr="00C80F8E" w:rsidRDefault="004A55DC"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1C7AC5" w:rsidRPr="00C80F8E">
              <w:rPr>
                <w:rFonts w:ascii="Abadi" w:hAnsi="Abadi" w:cstheme="minorHAnsi"/>
                <w:b/>
                <w:bCs/>
                <w:color w:val="FFFFFF" w:themeColor="background1"/>
                <w:sz w:val="20"/>
                <w:szCs w:val="20"/>
                <w:lang w:val="es-ES_tradnl"/>
              </w:rPr>
              <w:t>5</w:t>
            </w:r>
          </w:p>
        </w:tc>
        <w:tc>
          <w:tcPr>
            <w:tcW w:w="2114" w:type="dxa"/>
            <w:tcBorders>
              <w:bottom w:val="single" w:sz="4" w:space="0" w:color="auto"/>
            </w:tcBorders>
            <w:shd w:val="clear" w:color="auto" w:fill="0070C0"/>
          </w:tcPr>
          <w:p w14:paraId="46155667" w14:textId="0CBF5FE6" w:rsidR="004A55DC" w:rsidRPr="00C80F8E" w:rsidRDefault="004A55DC"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1C7AC5" w:rsidRPr="00C80F8E">
              <w:rPr>
                <w:rFonts w:ascii="Abadi" w:hAnsi="Abadi" w:cstheme="minorHAnsi"/>
                <w:b/>
                <w:bCs/>
                <w:color w:val="FFFFFF" w:themeColor="background1"/>
                <w:sz w:val="20"/>
                <w:szCs w:val="20"/>
                <w:lang w:val="es-ES_tradnl"/>
              </w:rPr>
              <w:t>4</w:t>
            </w:r>
          </w:p>
        </w:tc>
      </w:tr>
      <w:tr w:rsidR="00F25B09" w:rsidRPr="00C80F8E" w14:paraId="70193166" w14:textId="77777777" w:rsidTr="00DB69D9">
        <w:trPr>
          <w:trHeight w:val="274"/>
        </w:trPr>
        <w:tc>
          <w:tcPr>
            <w:tcW w:w="4867" w:type="dxa"/>
          </w:tcPr>
          <w:p w14:paraId="19045A0E" w14:textId="77777777" w:rsidR="00F25B09" w:rsidRPr="00C80F8E" w:rsidRDefault="00F25B09" w:rsidP="00F25B09">
            <w:pPr>
              <w:jc w:val="both"/>
              <w:rPr>
                <w:rFonts w:ascii="Abadi" w:hAnsi="Abadi" w:cstheme="minorHAnsi"/>
                <w:b/>
                <w:bCs/>
                <w:sz w:val="20"/>
                <w:szCs w:val="20"/>
                <w:lang w:val="es-ES_tradnl"/>
              </w:rPr>
            </w:pPr>
            <w:r w:rsidRPr="00C80F8E">
              <w:rPr>
                <w:rFonts w:ascii="Abadi" w:hAnsi="Abadi" w:cstheme="minorHAnsi"/>
                <w:b/>
                <w:bCs/>
                <w:sz w:val="20"/>
                <w:szCs w:val="20"/>
                <w:lang w:val="es-ES_tradnl"/>
              </w:rPr>
              <w:t>Terreno</w:t>
            </w:r>
          </w:p>
        </w:tc>
        <w:tc>
          <w:tcPr>
            <w:tcW w:w="2257" w:type="dxa"/>
            <w:tcBorders>
              <w:bottom w:val="single" w:sz="4" w:space="0" w:color="auto"/>
            </w:tcBorders>
          </w:tcPr>
          <w:p w14:paraId="56FF921E" w14:textId="319CD7A5" w:rsidR="00F25B09" w:rsidRPr="00C80F8E" w:rsidRDefault="00F25B09" w:rsidP="00F25B09">
            <w:pPr>
              <w:jc w:val="right"/>
              <w:rPr>
                <w:rFonts w:ascii="Abadi" w:hAnsi="Abadi" w:cstheme="minorHAnsi"/>
                <w:sz w:val="20"/>
                <w:szCs w:val="20"/>
                <w:lang w:val="es-ES_tradnl"/>
              </w:rPr>
            </w:pPr>
            <w:r w:rsidRPr="00C80F8E">
              <w:rPr>
                <w:rFonts w:ascii="Abadi" w:hAnsi="Abadi" w:cstheme="minorHAnsi"/>
                <w:sz w:val="20"/>
                <w:szCs w:val="20"/>
                <w:lang w:val="es-ES_tradnl"/>
              </w:rPr>
              <w:t>35,297,293.88</w:t>
            </w:r>
          </w:p>
        </w:tc>
        <w:tc>
          <w:tcPr>
            <w:tcW w:w="2114" w:type="dxa"/>
            <w:tcBorders>
              <w:bottom w:val="single" w:sz="4" w:space="0" w:color="auto"/>
            </w:tcBorders>
          </w:tcPr>
          <w:p w14:paraId="25956A3B" w14:textId="77777777" w:rsidR="00F25B09" w:rsidRPr="00C80F8E" w:rsidRDefault="00F25B09" w:rsidP="00F25B09">
            <w:pPr>
              <w:jc w:val="right"/>
              <w:rPr>
                <w:rFonts w:ascii="Abadi" w:hAnsi="Abadi" w:cstheme="minorHAnsi"/>
                <w:sz w:val="20"/>
                <w:szCs w:val="20"/>
                <w:lang w:val="es-ES_tradnl"/>
              </w:rPr>
            </w:pPr>
            <w:r w:rsidRPr="00C80F8E">
              <w:rPr>
                <w:rFonts w:ascii="Abadi" w:hAnsi="Abadi" w:cstheme="minorHAnsi"/>
                <w:sz w:val="20"/>
                <w:szCs w:val="20"/>
                <w:lang w:val="es-ES_tradnl"/>
              </w:rPr>
              <w:t>35,297,293.88</w:t>
            </w:r>
          </w:p>
        </w:tc>
      </w:tr>
      <w:tr w:rsidR="00F25B09" w:rsidRPr="00C80F8E" w14:paraId="2CD9B683" w14:textId="77777777" w:rsidTr="00DB69D9">
        <w:trPr>
          <w:trHeight w:val="258"/>
        </w:trPr>
        <w:tc>
          <w:tcPr>
            <w:tcW w:w="4867" w:type="dxa"/>
            <w:tcBorders>
              <w:right w:val="single" w:sz="2" w:space="0" w:color="auto"/>
            </w:tcBorders>
          </w:tcPr>
          <w:p w14:paraId="1188F956" w14:textId="77777777" w:rsidR="00F25B09" w:rsidRPr="00C80F8E" w:rsidRDefault="00F25B09" w:rsidP="00F25B09">
            <w:pPr>
              <w:jc w:val="both"/>
              <w:rPr>
                <w:rFonts w:ascii="Abadi" w:hAnsi="Abadi" w:cstheme="minorHAnsi"/>
                <w:b/>
                <w:sz w:val="20"/>
                <w:szCs w:val="20"/>
                <w:lang w:val="es-ES_tradnl"/>
              </w:rPr>
            </w:pPr>
            <w:r w:rsidRPr="00C80F8E">
              <w:rPr>
                <w:rFonts w:ascii="Abadi" w:hAnsi="Abadi" w:cstheme="minorHAnsi"/>
                <w:b/>
                <w:sz w:val="20"/>
                <w:szCs w:val="20"/>
                <w:lang w:val="es-ES_tradnl"/>
              </w:rPr>
              <w:t>Total</w:t>
            </w:r>
          </w:p>
        </w:tc>
        <w:tc>
          <w:tcPr>
            <w:tcW w:w="2257" w:type="dxa"/>
            <w:tcBorders>
              <w:top w:val="single" w:sz="12" w:space="0" w:color="auto"/>
              <w:left w:val="single" w:sz="2" w:space="0" w:color="auto"/>
              <w:bottom w:val="single" w:sz="2" w:space="0" w:color="auto"/>
              <w:right w:val="single" w:sz="2" w:space="0" w:color="auto"/>
            </w:tcBorders>
          </w:tcPr>
          <w:p w14:paraId="4ED225A4" w14:textId="6909AEEE" w:rsidR="00F25B09" w:rsidRPr="00C80F8E" w:rsidRDefault="00F25B09" w:rsidP="00F25B09">
            <w:pPr>
              <w:jc w:val="right"/>
              <w:rPr>
                <w:rFonts w:ascii="Abadi" w:hAnsi="Abadi" w:cstheme="minorHAnsi"/>
                <w:b/>
                <w:bCs/>
                <w:sz w:val="20"/>
                <w:szCs w:val="20"/>
                <w:lang w:val="es-ES_tradnl"/>
              </w:rPr>
            </w:pPr>
            <w:r w:rsidRPr="00C80F8E">
              <w:rPr>
                <w:rFonts w:ascii="Abadi" w:hAnsi="Abadi" w:cstheme="minorHAnsi"/>
                <w:b/>
                <w:bCs/>
                <w:sz w:val="20"/>
                <w:szCs w:val="20"/>
                <w:lang w:val="es-ES_tradnl"/>
              </w:rPr>
              <w:fldChar w:fldCharType="begin"/>
            </w:r>
            <w:r w:rsidRPr="00C80F8E">
              <w:rPr>
                <w:rFonts w:ascii="Abadi" w:hAnsi="Abadi" w:cstheme="minorHAnsi"/>
                <w:b/>
                <w:bCs/>
                <w:sz w:val="20"/>
                <w:szCs w:val="20"/>
                <w:lang w:val="es-ES_tradnl"/>
              </w:rPr>
              <w:instrText xml:space="preserve"> =SUM(ABOVE) \# "#,##0.00" </w:instrText>
            </w:r>
            <w:r w:rsidRPr="00C80F8E">
              <w:rPr>
                <w:rFonts w:ascii="Abadi" w:hAnsi="Abadi" w:cstheme="minorHAnsi"/>
                <w:b/>
                <w:bCs/>
                <w:sz w:val="20"/>
                <w:szCs w:val="20"/>
                <w:lang w:val="es-ES_tradnl"/>
              </w:rPr>
              <w:fldChar w:fldCharType="separate"/>
            </w:r>
            <w:r w:rsidRPr="00C80F8E">
              <w:rPr>
                <w:rFonts w:ascii="Abadi" w:hAnsi="Abadi" w:cstheme="minorHAnsi"/>
                <w:b/>
                <w:bCs/>
                <w:noProof/>
                <w:sz w:val="20"/>
                <w:szCs w:val="20"/>
                <w:lang w:val="es-ES_tradnl"/>
              </w:rPr>
              <w:t>35,299,316.88</w:t>
            </w:r>
            <w:r w:rsidRPr="00C80F8E">
              <w:rPr>
                <w:rFonts w:ascii="Abadi" w:hAnsi="Abadi" w:cstheme="minorHAnsi"/>
                <w:b/>
                <w:bCs/>
                <w:sz w:val="20"/>
                <w:szCs w:val="20"/>
                <w:lang w:val="es-ES_tradnl"/>
              </w:rPr>
              <w:fldChar w:fldCharType="end"/>
            </w:r>
          </w:p>
        </w:tc>
        <w:tc>
          <w:tcPr>
            <w:tcW w:w="2114" w:type="dxa"/>
            <w:tcBorders>
              <w:top w:val="single" w:sz="12" w:space="0" w:color="auto"/>
              <w:left w:val="single" w:sz="2" w:space="0" w:color="auto"/>
              <w:bottom w:val="single" w:sz="4" w:space="0" w:color="auto"/>
            </w:tcBorders>
          </w:tcPr>
          <w:p w14:paraId="6EFAF6C4" w14:textId="3342206A" w:rsidR="00F25B09" w:rsidRPr="00C80F8E" w:rsidRDefault="00F25B09" w:rsidP="00F25B09">
            <w:pPr>
              <w:jc w:val="right"/>
              <w:rPr>
                <w:rFonts w:ascii="Abadi" w:hAnsi="Abadi" w:cstheme="minorHAnsi"/>
                <w:b/>
                <w:bCs/>
                <w:sz w:val="20"/>
                <w:szCs w:val="20"/>
                <w:lang w:val="es-ES_tradnl"/>
              </w:rPr>
            </w:pPr>
            <w:r w:rsidRPr="00C80F8E">
              <w:rPr>
                <w:rFonts w:ascii="Abadi" w:hAnsi="Abadi" w:cstheme="minorHAnsi"/>
                <w:b/>
                <w:bCs/>
                <w:sz w:val="20"/>
                <w:szCs w:val="20"/>
                <w:lang w:val="es-ES_tradnl"/>
              </w:rPr>
              <w:fldChar w:fldCharType="begin"/>
            </w:r>
            <w:r w:rsidRPr="00C80F8E">
              <w:rPr>
                <w:rFonts w:ascii="Abadi" w:hAnsi="Abadi" w:cstheme="minorHAnsi"/>
                <w:b/>
                <w:bCs/>
                <w:sz w:val="20"/>
                <w:szCs w:val="20"/>
                <w:lang w:val="es-ES_tradnl"/>
              </w:rPr>
              <w:instrText xml:space="preserve"> =SUM(ABOVE) \# "#,##0.00" </w:instrText>
            </w:r>
            <w:r w:rsidRPr="00C80F8E">
              <w:rPr>
                <w:rFonts w:ascii="Abadi" w:hAnsi="Abadi" w:cstheme="minorHAnsi"/>
                <w:b/>
                <w:bCs/>
                <w:sz w:val="20"/>
                <w:szCs w:val="20"/>
                <w:lang w:val="es-ES_tradnl"/>
              </w:rPr>
              <w:fldChar w:fldCharType="separate"/>
            </w:r>
            <w:r w:rsidRPr="00C80F8E">
              <w:rPr>
                <w:rFonts w:ascii="Abadi" w:hAnsi="Abadi" w:cstheme="minorHAnsi"/>
                <w:b/>
                <w:bCs/>
                <w:noProof/>
                <w:sz w:val="20"/>
                <w:szCs w:val="20"/>
                <w:lang w:val="es-ES_tradnl"/>
              </w:rPr>
              <w:t>35,299,316.88</w:t>
            </w:r>
            <w:r w:rsidRPr="00C80F8E">
              <w:rPr>
                <w:rFonts w:ascii="Abadi" w:hAnsi="Abadi" w:cstheme="minorHAnsi"/>
                <w:b/>
                <w:bCs/>
                <w:sz w:val="20"/>
                <w:szCs w:val="20"/>
                <w:lang w:val="es-ES_tradnl"/>
              </w:rPr>
              <w:fldChar w:fldCharType="end"/>
            </w:r>
          </w:p>
        </w:tc>
      </w:tr>
      <w:tr w:rsidR="00F25B09" w:rsidRPr="00C80F8E" w14:paraId="1BCBB2DD" w14:textId="77777777" w:rsidTr="007E7B81">
        <w:trPr>
          <w:trHeight w:val="274"/>
        </w:trPr>
        <w:tc>
          <w:tcPr>
            <w:tcW w:w="4867" w:type="dxa"/>
          </w:tcPr>
          <w:p w14:paraId="373B9C6D" w14:textId="77777777" w:rsidR="00F25B09" w:rsidRPr="00C80F8E" w:rsidRDefault="00F25B09" w:rsidP="00F25B09">
            <w:pPr>
              <w:jc w:val="both"/>
              <w:rPr>
                <w:rFonts w:ascii="Abadi" w:hAnsi="Abadi" w:cstheme="minorHAnsi"/>
                <w:bCs/>
                <w:sz w:val="20"/>
                <w:szCs w:val="20"/>
                <w:lang w:val="es-ES_tradnl"/>
              </w:rPr>
            </w:pPr>
            <w:r w:rsidRPr="00C80F8E">
              <w:rPr>
                <w:rFonts w:ascii="Abadi" w:hAnsi="Abadi" w:cstheme="minorHAnsi"/>
                <w:bCs/>
                <w:sz w:val="20"/>
                <w:szCs w:val="20"/>
                <w:lang w:val="es-ES_tradnl"/>
              </w:rPr>
              <w:t>Depreciación</w:t>
            </w:r>
          </w:p>
        </w:tc>
        <w:tc>
          <w:tcPr>
            <w:tcW w:w="2257" w:type="dxa"/>
            <w:tcBorders>
              <w:top w:val="single" w:sz="2" w:space="0" w:color="auto"/>
              <w:bottom w:val="single" w:sz="12" w:space="0" w:color="auto"/>
            </w:tcBorders>
          </w:tcPr>
          <w:p w14:paraId="04ECDD77" w14:textId="3388CB92" w:rsidR="00F25B09" w:rsidRPr="00C80F8E" w:rsidRDefault="00F25B09" w:rsidP="00F25B0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14" w:type="dxa"/>
            <w:tcBorders>
              <w:bottom w:val="single" w:sz="12" w:space="0" w:color="auto"/>
            </w:tcBorders>
          </w:tcPr>
          <w:p w14:paraId="0DF8C5DF" w14:textId="6206EEE3" w:rsidR="00F25B09" w:rsidRPr="00C80F8E" w:rsidRDefault="00F25B09" w:rsidP="00F25B0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F25B09" w:rsidRPr="00C80F8E" w14:paraId="55A57A18" w14:textId="77777777" w:rsidTr="007E7B81">
        <w:trPr>
          <w:trHeight w:val="258"/>
        </w:trPr>
        <w:tc>
          <w:tcPr>
            <w:tcW w:w="4867" w:type="dxa"/>
            <w:shd w:val="clear" w:color="auto" w:fill="FFFFFF" w:themeFill="background1"/>
          </w:tcPr>
          <w:p w14:paraId="70997A42" w14:textId="5B456BB7" w:rsidR="00F25B09" w:rsidRPr="00C80F8E" w:rsidRDefault="00F25B09" w:rsidP="00F25B09">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Terreno</w:t>
            </w:r>
          </w:p>
        </w:tc>
        <w:tc>
          <w:tcPr>
            <w:tcW w:w="2257" w:type="dxa"/>
            <w:tcBorders>
              <w:top w:val="single" w:sz="12" w:space="0" w:color="auto"/>
              <w:bottom w:val="double" w:sz="4" w:space="0" w:color="auto"/>
            </w:tcBorders>
            <w:shd w:val="clear" w:color="auto" w:fill="FFFFFF" w:themeFill="background1"/>
          </w:tcPr>
          <w:p w14:paraId="4AF43C19" w14:textId="21F67FCD" w:rsidR="00F25B09" w:rsidRPr="00C80F8E" w:rsidRDefault="00F25B09" w:rsidP="00F25B09">
            <w:pPr>
              <w:jc w:val="right"/>
              <w:rPr>
                <w:rFonts w:ascii="Abadi" w:hAnsi="Abadi" w:cstheme="minorHAnsi"/>
                <w:b/>
                <w:bCs/>
                <w:sz w:val="20"/>
                <w:szCs w:val="20"/>
                <w:lang w:val="es-ES_tradnl"/>
              </w:rPr>
            </w:pPr>
            <w:r w:rsidRPr="00C80F8E">
              <w:rPr>
                <w:rFonts w:ascii="Abadi" w:hAnsi="Abadi" w:cstheme="minorHAnsi"/>
                <w:b/>
                <w:bCs/>
                <w:sz w:val="20"/>
                <w:szCs w:val="20"/>
                <w:lang w:val="es-ES_tradnl"/>
              </w:rPr>
              <w:t>35,297,293.88</w:t>
            </w:r>
          </w:p>
        </w:tc>
        <w:tc>
          <w:tcPr>
            <w:tcW w:w="2114" w:type="dxa"/>
            <w:tcBorders>
              <w:top w:val="single" w:sz="12" w:space="0" w:color="auto"/>
              <w:bottom w:val="double" w:sz="4" w:space="0" w:color="auto"/>
            </w:tcBorders>
            <w:shd w:val="clear" w:color="auto" w:fill="FFFFFF" w:themeFill="background1"/>
          </w:tcPr>
          <w:p w14:paraId="16B26A52" w14:textId="77777777" w:rsidR="00F25B09" w:rsidRPr="00C80F8E" w:rsidRDefault="00F25B09" w:rsidP="00F25B09">
            <w:pPr>
              <w:jc w:val="right"/>
              <w:rPr>
                <w:rFonts w:ascii="Abadi" w:hAnsi="Abadi" w:cstheme="minorHAnsi"/>
                <w:b/>
                <w:bCs/>
                <w:sz w:val="20"/>
                <w:szCs w:val="20"/>
                <w:lang w:val="es-ES_tradnl"/>
              </w:rPr>
            </w:pPr>
            <w:r w:rsidRPr="00C80F8E">
              <w:rPr>
                <w:rFonts w:ascii="Abadi" w:hAnsi="Abadi" w:cstheme="minorHAnsi"/>
                <w:b/>
                <w:bCs/>
                <w:sz w:val="20"/>
                <w:szCs w:val="20"/>
                <w:lang w:val="es-ES_tradnl"/>
              </w:rPr>
              <w:t>35,297,293.88</w:t>
            </w:r>
          </w:p>
        </w:tc>
      </w:tr>
    </w:tbl>
    <w:p w14:paraId="46BEED91" w14:textId="77777777" w:rsidR="008B7C69" w:rsidRPr="00C80F8E" w:rsidRDefault="008B7C69" w:rsidP="00070787">
      <w:pPr>
        <w:spacing w:line="240" w:lineRule="auto"/>
        <w:contextualSpacing/>
        <w:jc w:val="both"/>
        <w:rPr>
          <w:rFonts w:ascii="Abadi" w:hAnsi="Abadi" w:cstheme="minorHAnsi"/>
          <w:bCs/>
          <w:iCs/>
          <w:sz w:val="20"/>
          <w:szCs w:val="20"/>
          <w:lang w:val="es-ES_tradnl" w:eastAsia="es-ES"/>
        </w:rPr>
      </w:pPr>
    </w:p>
    <w:p w14:paraId="4EFA36E2" w14:textId="3C5ACE0C" w:rsidR="008D4971" w:rsidRPr="00C80F8E" w:rsidRDefault="008D4971" w:rsidP="00070787">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Esta partida está compuesta de la siguiente manera:</w:t>
      </w:r>
    </w:p>
    <w:p w14:paraId="28728FDB" w14:textId="3B9FAF25" w:rsidR="009276B1" w:rsidRPr="009276B1" w:rsidRDefault="008D4971" w:rsidP="009276B1">
      <w:pPr>
        <w:spacing w:line="360" w:lineRule="auto"/>
        <w:jc w:val="both"/>
        <w:rPr>
          <w:lang w:val="es-ES_tradnl"/>
        </w:rPr>
      </w:pPr>
      <w:r w:rsidRPr="00C80F8E">
        <w:rPr>
          <w:rFonts w:ascii="Abadi" w:hAnsi="Abadi" w:cstheme="minorHAnsi"/>
          <w:b/>
          <w:bCs/>
          <w:iCs/>
          <w:sz w:val="20"/>
          <w:szCs w:val="20"/>
          <w:lang w:val="es-ES_tradnl" w:eastAsia="es-ES"/>
        </w:rPr>
        <w:t xml:space="preserve">Nota: </w:t>
      </w:r>
      <w:r w:rsidR="00E85F0D" w:rsidRPr="00C80F8E">
        <w:rPr>
          <w:rFonts w:ascii="Abadi" w:hAnsi="Abadi" w:cstheme="minorHAnsi"/>
          <w:b/>
          <w:bCs/>
          <w:iCs/>
          <w:sz w:val="20"/>
          <w:szCs w:val="20"/>
          <w:lang w:val="es-ES_tradnl" w:eastAsia="es-ES"/>
        </w:rPr>
        <w:fldChar w:fldCharType="begin"/>
      </w:r>
      <w:r w:rsidR="00E85F0D" w:rsidRPr="00C80F8E">
        <w:rPr>
          <w:rFonts w:ascii="Abadi" w:hAnsi="Abadi" w:cstheme="minorHAnsi"/>
          <w:b/>
          <w:bCs/>
          <w:iCs/>
          <w:sz w:val="20"/>
          <w:szCs w:val="20"/>
          <w:lang w:val="es-ES_tradnl" w:eastAsia="es-ES"/>
        </w:rPr>
        <w:instrText xml:space="preserve"> LINK </w:instrText>
      </w:r>
      <w:r w:rsidR="009276B1">
        <w:rPr>
          <w:rFonts w:ascii="Abadi" w:hAnsi="Abadi" w:cstheme="minorHAnsi"/>
          <w:b/>
          <w:bCs/>
          <w:iCs/>
          <w:sz w:val="20"/>
          <w:szCs w:val="20"/>
          <w:lang w:val="es-ES_tradnl" w:eastAsia="es-ES"/>
        </w:rPr>
        <w:instrText xml:space="preserve">Excel.Sheet.12 "https://sipen.sharepoint.com/Contabilidad/ESTADOS FINANCIEROS/Estados Financieros 2024/CUADRO EEFF-1.xlsx" "Edificio y Terrero!F18C2:F22C6" </w:instrText>
      </w:r>
      <w:r w:rsidR="00E85F0D" w:rsidRPr="00C80F8E">
        <w:rPr>
          <w:rFonts w:ascii="Abadi" w:hAnsi="Abadi" w:cstheme="minorHAnsi"/>
          <w:b/>
          <w:bCs/>
          <w:iCs/>
          <w:sz w:val="20"/>
          <w:szCs w:val="20"/>
          <w:lang w:val="es-ES_tradnl" w:eastAsia="es-ES"/>
        </w:rPr>
        <w:instrText xml:space="preserve">\a \f 5 \h  \* MERGEFORMAT </w:instrText>
      </w:r>
      <w:r w:rsidR="009276B1" w:rsidRPr="00C80F8E">
        <w:rPr>
          <w:rFonts w:ascii="Abadi" w:hAnsi="Abadi" w:cstheme="minorHAnsi"/>
          <w:b/>
          <w:bCs/>
          <w:iCs/>
          <w:sz w:val="20"/>
          <w:szCs w:val="20"/>
          <w:lang w:val="es-ES_tradnl" w:eastAsia="es-ES"/>
        </w:rPr>
        <w:fldChar w:fldCharType="separate"/>
      </w:r>
      <w:bookmarkStart w:id="51" w:name="_1798350197"/>
      <w:bookmarkStart w:id="52" w:name="_1798350336"/>
      <w:bookmarkStart w:id="53" w:name="_1798350420"/>
      <w:bookmarkStart w:id="54" w:name="_1798533257"/>
      <w:bookmarkEnd w:id="51"/>
      <w:bookmarkEnd w:id="52"/>
      <w:bookmarkEnd w:id="53"/>
      <w:bookmarkEnd w:id="54"/>
    </w:p>
    <w:tbl>
      <w:tblPr>
        <w:tblStyle w:val="Tablaconcuadrcula"/>
        <w:tblW w:w="9286" w:type="dxa"/>
        <w:tblLook w:val="04A0" w:firstRow="1" w:lastRow="0" w:firstColumn="1" w:lastColumn="0" w:noHBand="0" w:noVBand="1"/>
      </w:tblPr>
      <w:tblGrid>
        <w:gridCol w:w="2135"/>
        <w:gridCol w:w="1472"/>
        <w:gridCol w:w="1471"/>
        <w:gridCol w:w="2006"/>
        <w:gridCol w:w="2202"/>
      </w:tblGrid>
      <w:tr w:rsidR="009276B1" w:rsidRPr="009276B1" w14:paraId="1211BCEC" w14:textId="77777777" w:rsidTr="009276B1">
        <w:trPr>
          <w:trHeight w:val="208"/>
        </w:trPr>
        <w:tc>
          <w:tcPr>
            <w:tcW w:w="2135" w:type="dxa"/>
            <w:shd w:val="clear" w:color="auto" w:fill="0070C0"/>
            <w:hideMark/>
          </w:tcPr>
          <w:p w14:paraId="1B0E0D9E" w14:textId="06593C7F" w:rsidR="009276B1" w:rsidRPr="009276B1" w:rsidRDefault="009276B1" w:rsidP="009276B1">
            <w:pPr>
              <w:jc w:val="center"/>
              <w:rPr>
                <w:rFonts w:ascii="Abadi" w:hAnsi="Abadi" w:cstheme="minorHAnsi"/>
                <w:b/>
                <w:bCs/>
                <w:color w:val="FFFFFF" w:themeColor="background1"/>
                <w:sz w:val="16"/>
                <w:szCs w:val="16"/>
                <w:lang w:val="es-ES_tradnl"/>
              </w:rPr>
            </w:pPr>
            <w:r w:rsidRPr="009276B1">
              <w:rPr>
                <w:rFonts w:ascii="Abadi" w:hAnsi="Abadi" w:cstheme="minorHAnsi"/>
                <w:b/>
                <w:bCs/>
                <w:color w:val="FFFFFF" w:themeColor="background1"/>
                <w:sz w:val="16"/>
                <w:szCs w:val="16"/>
                <w:lang w:val="es-ES_tradnl"/>
              </w:rPr>
              <w:t>Fecha de Inscripción</w:t>
            </w:r>
          </w:p>
        </w:tc>
        <w:tc>
          <w:tcPr>
            <w:tcW w:w="1472" w:type="dxa"/>
            <w:shd w:val="clear" w:color="auto" w:fill="0070C0"/>
            <w:hideMark/>
          </w:tcPr>
          <w:p w14:paraId="052D396C" w14:textId="77777777" w:rsidR="009276B1" w:rsidRPr="009276B1" w:rsidRDefault="009276B1" w:rsidP="009276B1">
            <w:pPr>
              <w:jc w:val="center"/>
              <w:rPr>
                <w:rFonts w:ascii="Abadi" w:hAnsi="Abadi" w:cstheme="minorHAnsi"/>
                <w:b/>
                <w:bCs/>
                <w:color w:val="FFFFFF" w:themeColor="background1"/>
                <w:sz w:val="16"/>
                <w:szCs w:val="16"/>
                <w:lang w:val="es-ES_tradnl"/>
              </w:rPr>
            </w:pPr>
            <w:r w:rsidRPr="009276B1">
              <w:rPr>
                <w:rFonts w:ascii="Abadi" w:hAnsi="Abadi" w:cstheme="minorHAnsi"/>
                <w:b/>
                <w:bCs/>
                <w:color w:val="FFFFFF" w:themeColor="background1"/>
                <w:sz w:val="16"/>
                <w:szCs w:val="16"/>
                <w:lang w:val="es-ES_tradnl"/>
              </w:rPr>
              <w:t xml:space="preserve">Solar No. </w:t>
            </w:r>
          </w:p>
        </w:tc>
        <w:tc>
          <w:tcPr>
            <w:tcW w:w="1471" w:type="dxa"/>
            <w:shd w:val="clear" w:color="auto" w:fill="0070C0"/>
            <w:hideMark/>
          </w:tcPr>
          <w:p w14:paraId="3300A19A" w14:textId="77777777" w:rsidR="009276B1" w:rsidRPr="009276B1" w:rsidRDefault="009276B1" w:rsidP="009276B1">
            <w:pPr>
              <w:jc w:val="center"/>
              <w:rPr>
                <w:rFonts w:ascii="Abadi" w:hAnsi="Abadi" w:cstheme="minorHAnsi"/>
                <w:b/>
                <w:bCs/>
                <w:color w:val="FFFFFF" w:themeColor="background1"/>
                <w:sz w:val="16"/>
                <w:szCs w:val="16"/>
                <w:lang w:val="es-ES_tradnl"/>
              </w:rPr>
            </w:pPr>
            <w:r w:rsidRPr="009276B1">
              <w:rPr>
                <w:rFonts w:ascii="Abadi" w:hAnsi="Abadi" w:cstheme="minorHAnsi"/>
                <w:b/>
                <w:bCs/>
                <w:color w:val="FFFFFF" w:themeColor="background1"/>
                <w:sz w:val="16"/>
                <w:szCs w:val="16"/>
                <w:lang w:val="es-ES_tradnl"/>
              </w:rPr>
              <w:t>Manzana No.</w:t>
            </w:r>
          </w:p>
        </w:tc>
        <w:tc>
          <w:tcPr>
            <w:tcW w:w="2006" w:type="dxa"/>
            <w:shd w:val="clear" w:color="auto" w:fill="0070C0"/>
            <w:hideMark/>
          </w:tcPr>
          <w:p w14:paraId="3A4461B8" w14:textId="77777777" w:rsidR="009276B1" w:rsidRPr="009276B1" w:rsidRDefault="009276B1" w:rsidP="009276B1">
            <w:pPr>
              <w:jc w:val="center"/>
              <w:rPr>
                <w:rFonts w:ascii="Abadi" w:hAnsi="Abadi" w:cstheme="minorHAnsi"/>
                <w:b/>
                <w:bCs/>
                <w:color w:val="FFFFFF" w:themeColor="background1"/>
                <w:sz w:val="16"/>
                <w:szCs w:val="16"/>
                <w:lang w:val="es-ES_tradnl"/>
              </w:rPr>
            </w:pPr>
            <w:r w:rsidRPr="009276B1">
              <w:rPr>
                <w:rFonts w:ascii="Abadi" w:hAnsi="Abadi" w:cstheme="minorHAnsi"/>
                <w:b/>
                <w:bCs/>
                <w:color w:val="FFFFFF" w:themeColor="background1"/>
                <w:sz w:val="16"/>
                <w:szCs w:val="16"/>
                <w:lang w:val="es-ES_tradnl"/>
              </w:rPr>
              <w:t>Extensión Superficial</w:t>
            </w:r>
          </w:p>
        </w:tc>
        <w:tc>
          <w:tcPr>
            <w:tcW w:w="2202" w:type="dxa"/>
            <w:shd w:val="clear" w:color="auto" w:fill="0070C0"/>
            <w:hideMark/>
          </w:tcPr>
          <w:p w14:paraId="6C65A256" w14:textId="77777777" w:rsidR="009276B1" w:rsidRPr="009276B1" w:rsidRDefault="009276B1" w:rsidP="009276B1">
            <w:pPr>
              <w:jc w:val="center"/>
              <w:rPr>
                <w:rFonts w:ascii="Abadi" w:hAnsi="Abadi" w:cstheme="minorHAnsi"/>
                <w:b/>
                <w:bCs/>
                <w:color w:val="FFFFFF" w:themeColor="background1"/>
                <w:sz w:val="16"/>
                <w:szCs w:val="16"/>
                <w:lang w:val="es-ES_tradnl"/>
              </w:rPr>
            </w:pPr>
            <w:r w:rsidRPr="009276B1">
              <w:rPr>
                <w:rFonts w:ascii="Abadi" w:hAnsi="Abadi" w:cstheme="minorHAnsi"/>
                <w:b/>
                <w:bCs/>
                <w:color w:val="FFFFFF" w:themeColor="background1"/>
                <w:sz w:val="16"/>
                <w:szCs w:val="16"/>
                <w:lang w:val="es-ES_tradnl"/>
              </w:rPr>
              <w:t>Costo del Terreno</w:t>
            </w:r>
          </w:p>
        </w:tc>
      </w:tr>
      <w:tr w:rsidR="009276B1" w:rsidRPr="009276B1" w14:paraId="4023E75F" w14:textId="77777777" w:rsidTr="009276B1">
        <w:trPr>
          <w:trHeight w:val="208"/>
        </w:trPr>
        <w:tc>
          <w:tcPr>
            <w:tcW w:w="2135" w:type="dxa"/>
            <w:noWrap/>
            <w:hideMark/>
          </w:tcPr>
          <w:p w14:paraId="4D8970FE"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27 de </w:t>
            </w:r>
            <w:proofErr w:type="gramStart"/>
            <w:r w:rsidRPr="009276B1">
              <w:rPr>
                <w:rFonts w:ascii="Abadi" w:hAnsi="Abadi" w:cstheme="minorHAnsi"/>
                <w:b/>
                <w:bCs/>
                <w:iCs/>
                <w:sz w:val="16"/>
                <w:szCs w:val="16"/>
                <w:lang w:val="es-ES_tradnl" w:eastAsia="es-ES"/>
              </w:rPr>
              <w:t>Septiembre</w:t>
            </w:r>
            <w:proofErr w:type="gramEnd"/>
            <w:r w:rsidRPr="009276B1">
              <w:rPr>
                <w:rFonts w:ascii="Abadi" w:hAnsi="Abadi" w:cstheme="minorHAnsi"/>
                <w:b/>
                <w:bCs/>
                <w:iCs/>
                <w:sz w:val="16"/>
                <w:szCs w:val="16"/>
                <w:lang w:val="es-ES_tradnl" w:eastAsia="es-ES"/>
              </w:rPr>
              <w:t xml:space="preserve"> 2005</w:t>
            </w:r>
          </w:p>
        </w:tc>
        <w:tc>
          <w:tcPr>
            <w:tcW w:w="1472" w:type="dxa"/>
            <w:noWrap/>
            <w:hideMark/>
          </w:tcPr>
          <w:p w14:paraId="2CC09026"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7-A</w:t>
            </w:r>
          </w:p>
        </w:tc>
        <w:tc>
          <w:tcPr>
            <w:tcW w:w="1471" w:type="dxa"/>
            <w:noWrap/>
            <w:hideMark/>
          </w:tcPr>
          <w:p w14:paraId="7266CD68"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159</w:t>
            </w:r>
          </w:p>
        </w:tc>
        <w:tc>
          <w:tcPr>
            <w:tcW w:w="2006" w:type="dxa"/>
            <w:noWrap/>
            <w:hideMark/>
          </w:tcPr>
          <w:p w14:paraId="6CE2F32F"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554m2 31dm2</w:t>
            </w:r>
          </w:p>
        </w:tc>
        <w:tc>
          <w:tcPr>
            <w:tcW w:w="2202" w:type="dxa"/>
            <w:noWrap/>
            <w:hideMark/>
          </w:tcPr>
          <w:p w14:paraId="59983B33" w14:textId="77777777" w:rsidR="009276B1" w:rsidRPr="009276B1" w:rsidRDefault="009276B1" w:rsidP="009276B1">
            <w:pPr>
              <w:spacing w:line="360" w:lineRule="auto"/>
              <w:jc w:val="right"/>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         6,080,400.00 </w:t>
            </w:r>
          </w:p>
        </w:tc>
      </w:tr>
      <w:tr w:rsidR="009276B1" w:rsidRPr="009276B1" w14:paraId="638B8A11" w14:textId="77777777" w:rsidTr="009276B1">
        <w:trPr>
          <w:trHeight w:val="208"/>
        </w:trPr>
        <w:tc>
          <w:tcPr>
            <w:tcW w:w="2135" w:type="dxa"/>
            <w:noWrap/>
            <w:hideMark/>
          </w:tcPr>
          <w:p w14:paraId="3C700B2B"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03 de </w:t>
            </w:r>
            <w:proofErr w:type="gramStart"/>
            <w:r w:rsidRPr="009276B1">
              <w:rPr>
                <w:rFonts w:ascii="Abadi" w:hAnsi="Abadi" w:cstheme="minorHAnsi"/>
                <w:b/>
                <w:bCs/>
                <w:iCs/>
                <w:sz w:val="16"/>
                <w:szCs w:val="16"/>
                <w:lang w:val="es-ES_tradnl" w:eastAsia="es-ES"/>
              </w:rPr>
              <w:t>Diciembre</w:t>
            </w:r>
            <w:proofErr w:type="gramEnd"/>
            <w:r w:rsidRPr="009276B1">
              <w:rPr>
                <w:rFonts w:ascii="Abadi" w:hAnsi="Abadi" w:cstheme="minorHAnsi"/>
                <w:b/>
                <w:bCs/>
                <w:iCs/>
                <w:sz w:val="16"/>
                <w:szCs w:val="16"/>
                <w:lang w:val="es-ES_tradnl" w:eastAsia="es-ES"/>
              </w:rPr>
              <w:t xml:space="preserve"> 2008</w:t>
            </w:r>
          </w:p>
        </w:tc>
        <w:tc>
          <w:tcPr>
            <w:tcW w:w="1472" w:type="dxa"/>
            <w:noWrap/>
            <w:hideMark/>
          </w:tcPr>
          <w:p w14:paraId="31693A6D"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11/01/1900</w:t>
            </w:r>
          </w:p>
        </w:tc>
        <w:tc>
          <w:tcPr>
            <w:tcW w:w="1471" w:type="dxa"/>
            <w:noWrap/>
            <w:hideMark/>
          </w:tcPr>
          <w:p w14:paraId="2CF33E37"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159</w:t>
            </w:r>
          </w:p>
        </w:tc>
        <w:tc>
          <w:tcPr>
            <w:tcW w:w="2006" w:type="dxa"/>
            <w:noWrap/>
            <w:hideMark/>
          </w:tcPr>
          <w:p w14:paraId="0AA69CED"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660m2</w:t>
            </w:r>
          </w:p>
        </w:tc>
        <w:tc>
          <w:tcPr>
            <w:tcW w:w="2202" w:type="dxa"/>
            <w:noWrap/>
            <w:hideMark/>
          </w:tcPr>
          <w:p w14:paraId="34DED484" w14:textId="77777777" w:rsidR="009276B1" w:rsidRPr="009276B1" w:rsidRDefault="009276B1" w:rsidP="009276B1">
            <w:pPr>
              <w:spacing w:line="360" w:lineRule="auto"/>
              <w:jc w:val="right"/>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       14,016,893.88 </w:t>
            </w:r>
          </w:p>
        </w:tc>
      </w:tr>
      <w:tr w:rsidR="009276B1" w:rsidRPr="009276B1" w14:paraId="60F0C01F" w14:textId="77777777" w:rsidTr="009276B1">
        <w:trPr>
          <w:trHeight w:val="208"/>
        </w:trPr>
        <w:tc>
          <w:tcPr>
            <w:tcW w:w="2135" w:type="dxa"/>
            <w:noWrap/>
            <w:hideMark/>
          </w:tcPr>
          <w:p w14:paraId="7B3C9E44"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16 de </w:t>
            </w:r>
            <w:proofErr w:type="gramStart"/>
            <w:r w:rsidRPr="009276B1">
              <w:rPr>
                <w:rFonts w:ascii="Abadi" w:hAnsi="Abadi" w:cstheme="minorHAnsi"/>
                <w:b/>
                <w:bCs/>
                <w:iCs/>
                <w:sz w:val="16"/>
                <w:szCs w:val="16"/>
                <w:lang w:val="es-ES_tradnl" w:eastAsia="es-ES"/>
              </w:rPr>
              <w:t>Mayo</w:t>
            </w:r>
            <w:proofErr w:type="gramEnd"/>
            <w:r w:rsidRPr="009276B1">
              <w:rPr>
                <w:rFonts w:ascii="Abadi" w:hAnsi="Abadi" w:cstheme="minorHAnsi"/>
                <w:b/>
                <w:bCs/>
                <w:iCs/>
                <w:sz w:val="16"/>
                <w:szCs w:val="16"/>
                <w:lang w:val="es-ES_tradnl" w:eastAsia="es-ES"/>
              </w:rPr>
              <w:t xml:space="preserve"> 2018</w:t>
            </w:r>
          </w:p>
        </w:tc>
        <w:tc>
          <w:tcPr>
            <w:tcW w:w="1472" w:type="dxa"/>
            <w:noWrap/>
            <w:hideMark/>
          </w:tcPr>
          <w:p w14:paraId="5F908CB7"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6-B Definitivo</w:t>
            </w:r>
          </w:p>
        </w:tc>
        <w:tc>
          <w:tcPr>
            <w:tcW w:w="1471" w:type="dxa"/>
            <w:noWrap/>
            <w:hideMark/>
          </w:tcPr>
          <w:p w14:paraId="4773259E"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159</w:t>
            </w:r>
          </w:p>
        </w:tc>
        <w:tc>
          <w:tcPr>
            <w:tcW w:w="2006" w:type="dxa"/>
            <w:noWrap/>
            <w:hideMark/>
          </w:tcPr>
          <w:p w14:paraId="2776EFC6"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504 m236dm2</w:t>
            </w:r>
          </w:p>
        </w:tc>
        <w:tc>
          <w:tcPr>
            <w:tcW w:w="2202" w:type="dxa"/>
            <w:tcBorders>
              <w:bottom w:val="single" w:sz="12" w:space="0" w:color="auto"/>
            </w:tcBorders>
            <w:noWrap/>
            <w:hideMark/>
          </w:tcPr>
          <w:p w14:paraId="18D93C73" w14:textId="77777777" w:rsidR="009276B1" w:rsidRPr="009276B1" w:rsidRDefault="009276B1" w:rsidP="009276B1">
            <w:pPr>
              <w:spacing w:line="360" w:lineRule="auto"/>
              <w:jc w:val="right"/>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       15,200,000.00 </w:t>
            </w:r>
          </w:p>
        </w:tc>
      </w:tr>
      <w:tr w:rsidR="009276B1" w:rsidRPr="009276B1" w14:paraId="1083EBB6" w14:textId="77777777" w:rsidTr="009276B1">
        <w:trPr>
          <w:trHeight w:val="218"/>
        </w:trPr>
        <w:tc>
          <w:tcPr>
            <w:tcW w:w="2135" w:type="dxa"/>
            <w:noWrap/>
            <w:hideMark/>
          </w:tcPr>
          <w:p w14:paraId="0F0755E2"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 </w:t>
            </w:r>
            <w:proofErr w:type="gramStart"/>
            <w:r w:rsidRPr="009276B1">
              <w:rPr>
                <w:rFonts w:ascii="Abadi" w:hAnsi="Abadi" w:cstheme="minorHAnsi"/>
                <w:b/>
                <w:bCs/>
                <w:iCs/>
                <w:sz w:val="16"/>
                <w:szCs w:val="16"/>
                <w:lang w:val="es-ES_tradnl" w:eastAsia="es-ES"/>
              </w:rPr>
              <w:t>Total</w:t>
            </w:r>
            <w:proofErr w:type="gramEnd"/>
            <w:r w:rsidRPr="009276B1">
              <w:rPr>
                <w:rFonts w:ascii="Abadi" w:hAnsi="Abadi" w:cstheme="minorHAnsi"/>
                <w:b/>
                <w:bCs/>
                <w:iCs/>
                <w:sz w:val="16"/>
                <w:szCs w:val="16"/>
                <w:lang w:val="es-ES_tradnl" w:eastAsia="es-ES"/>
              </w:rPr>
              <w:t xml:space="preserve"> RD$ </w:t>
            </w:r>
          </w:p>
        </w:tc>
        <w:tc>
          <w:tcPr>
            <w:tcW w:w="1472" w:type="dxa"/>
            <w:noWrap/>
            <w:hideMark/>
          </w:tcPr>
          <w:p w14:paraId="277672CE"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w:t>
            </w:r>
          </w:p>
        </w:tc>
        <w:tc>
          <w:tcPr>
            <w:tcW w:w="1471" w:type="dxa"/>
            <w:noWrap/>
            <w:hideMark/>
          </w:tcPr>
          <w:p w14:paraId="061F090E"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w:t>
            </w:r>
          </w:p>
        </w:tc>
        <w:tc>
          <w:tcPr>
            <w:tcW w:w="2006" w:type="dxa"/>
            <w:noWrap/>
            <w:hideMark/>
          </w:tcPr>
          <w:p w14:paraId="6FAB04BF" w14:textId="77777777" w:rsidR="009276B1" w:rsidRPr="009276B1" w:rsidRDefault="009276B1" w:rsidP="009276B1">
            <w:pPr>
              <w:spacing w:line="360" w:lineRule="auto"/>
              <w:jc w:val="both"/>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w:t>
            </w:r>
          </w:p>
        </w:tc>
        <w:tc>
          <w:tcPr>
            <w:tcW w:w="2202" w:type="dxa"/>
            <w:tcBorders>
              <w:top w:val="single" w:sz="12" w:space="0" w:color="auto"/>
              <w:bottom w:val="double" w:sz="4" w:space="0" w:color="auto"/>
            </w:tcBorders>
            <w:noWrap/>
            <w:hideMark/>
          </w:tcPr>
          <w:p w14:paraId="0EE2091A" w14:textId="77777777" w:rsidR="009276B1" w:rsidRPr="009276B1" w:rsidRDefault="009276B1" w:rsidP="009276B1">
            <w:pPr>
              <w:spacing w:line="360" w:lineRule="auto"/>
              <w:jc w:val="right"/>
              <w:rPr>
                <w:rFonts w:ascii="Abadi" w:hAnsi="Abadi" w:cstheme="minorHAnsi"/>
                <w:b/>
                <w:bCs/>
                <w:iCs/>
                <w:sz w:val="16"/>
                <w:szCs w:val="16"/>
                <w:lang w:val="es-ES_tradnl" w:eastAsia="es-ES"/>
              </w:rPr>
            </w:pPr>
            <w:r w:rsidRPr="009276B1">
              <w:rPr>
                <w:rFonts w:ascii="Abadi" w:hAnsi="Abadi" w:cstheme="minorHAnsi"/>
                <w:b/>
                <w:bCs/>
                <w:iCs/>
                <w:sz w:val="16"/>
                <w:szCs w:val="16"/>
                <w:lang w:val="es-ES_tradnl" w:eastAsia="es-ES"/>
              </w:rPr>
              <w:t xml:space="preserve">  35,297,293.88 </w:t>
            </w:r>
          </w:p>
        </w:tc>
      </w:tr>
    </w:tbl>
    <w:p w14:paraId="70186346" w14:textId="3167FBAA" w:rsidR="008D4971" w:rsidRPr="00C80F8E" w:rsidRDefault="00E85F0D" w:rsidP="00070787">
      <w:pPr>
        <w:spacing w:line="240" w:lineRule="auto"/>
        <w:contextualSpacing/>
        <w:jc w:val="both"/>
        <w:rPr>
          <w:rFonts w:ascii="Abadi" w:hAnsi="Abadi" w:cstheme="minorHAnsi"/>
          <w:b/>
          <w:bCs/>
          <w:iCs/>
          <w:sz w:val="20"/>
          <w:szCs w:val="20"/>
          <w:lang w:val="es-ES_tradnl" w:eastAsia="es-ES"/>
        </w:rPr>
      </w:pPr>
      <w:r w:rsidRPr="00C80F8E">
        <w:rPr>
          <w:rFonts w:ascii="Abadi" w:hAnsi="Abadi" w:cstheme="minorHAnsi"/>
          <w:b/>
          <w:bCs/>
          <w:iCs/>
          <w:sz w:val="20"/>
          <w:szCs w:val="20"/>
          <w:lang w:val="es-ES_tradnl" w:eastAsia="es-ES"/>
        </w:rPr>
        <w:fldChar w:fldCharType="end"/>
      </w:r>
    </w:p>
    <w:p w14:paraId="72A57933" w14:textId="77777777" w:rsidR="008D4971" w:rsidRPr="00C80F8E" w:rsidRDefault="008D4971" w:rsidP="008D4971">
      <w:pPr>
        <w:spacing w:line="360" w:lineRule="auto"/>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El costo pagado del solar número 7-A asciende a la suma de RD$5,686,000.00, al mismo se le agregó un costo adicional por impuesto sobre la transferencia en la transacción posterior a la compra, por un monto de RD$394,400.00, sumando esta partida un monto total de RD$6,080,400.00.</w:t>
      </w:r>
    </w:p>
    <w:p w14:paraId="7DD0014C" w14:textId="77777777" w:rsidR="005E6FB9" w:rsidRPr="00C80F8E" w:rsidRDefault="008D4971" w:rsidP="008D4971">
      <w:pPr>
        <w:spacing w:line="360" w:lineRule="auto"/>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El costo pagado del solar no. 11 asciende a la suma de RD$11,550,000.00, al mismo se le agregó un costo adicional por restructuración y acondicionamiento posterior a la compra, por un monto de RD$1,984,227.52, mediante Contrato de Servicios para la Ejecución  de la Construcción del Estacionamiento para empleados de la Superintendencia de Pensiones SP-CS-02-10 de fecha 04 de mayo del 2010 y Adenda al Contrato de Servicios por valor de RD$482,666.36 en fecha 16 de junio 2010, sumando estas partida un monto total de RD$14,016,893.88.</w:t>
      </w:r>
    </w:p>
    <w:p w14:paraId="767DF579" w14:textId="4255A797" w:rsidR="008D4971" w:rsidRPr="00C80F8E" w:rsidRDefault="0049110A" w:rsidP="008D4971">
      <w:pPr>
        <w:spacing w:line="360" w:lineRule="auto"/>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El costo</w:t>
      </w:r>
      <w:r w:rsidR="00AD067C" w:rsidRPr="00C80F8E">
        <w:rPr>
          <w:rFonts w:ascii="Abadi" w:hAnsi="Abadi" w:cstheme="minorHAnsi"/>
          <w:bCs/>
          <w:iCs/>
          <w:sz w:val="20"/>
          <w:szCs w:val="20"/>
          <w:lang w:val="es-ES_tradnl" w:eastAsia="es-ES"/>
        </w:rPr>
        <w:t xml:space="preserve"> de</w:t>
      </w:r>
      <w:r w:rsidR="00D16746" w:rsidRPr="00C80F8E">
        <w:rPr>
          <w:rFonts w:ascii="Abadi" w:hAnsi="Abadi" w:cstheme="minorHAnsi"/>
          <w:bCs/>
          <w:iCs/>
          <w:sz w:val="20"/>
          <w:szCs w:val="20"/>
          <w:lang w:val="es-ES_tradnl" w:eastAsia="es-ES"/>
        </w:rPr>
        <w:t xml:space="preserve"> dos terrenos ubicados en la Manzana 159</w:t>
      </w:r>
      <w:r w:rsidR="00C11EEC" w:rsidRPr="00C80F8E">
        <w:rPr>
          <w:rFonts w:ascii="Abadi" w:hAnsi="Abadi" w:cstheme="minorHAnsi"/>
          <w:bCs/>
          <w:iCs/>
          <w:sz w:val="20"/>
          <w:szCs w:val="20"/>
          <w:lang w:val="es-ES_tradnl" w:eastAsia="es-ES"/>
        </w:rPr>
        <w:t xml:space="preserve"> del Distrito Catastral 01, identificados como Solar no. </w:t>
      </w:r>
      <w:r w:rsidR="00F80ED7" w:rsidRPr="00C80F8E">
        <w:rPr>
          <w:rFonts w:ascii="Abadi" w:hAnsi="Abadi" w:cstheme="minorHAnsi"/>
          <w:bCs/>
          <w:iCs/>
          <w:sz w:val="20"/>
          <w:szCs w:val="20"/>
          <w:lang w:val="es-ES_tradnl" w:eastAsia="es-ES"/>
        </w:rPr>
        <w:t>7-B, con una superficie de 671 metros cuadrados, y Solar</w:t>
      </w:r>
      <w:r w:rsidR="00820072" w:rsidRPr="00C80F8E">
        <w:rPr>
          <w:rFonts w:ascii="Abadi" w:hAnsi="Abadi" w:cstheme="minorHAnsi"/>
          <w:bCs/>
          <w:iCs/>
          <w:sz w:val="20"/>
          <w:szCs w:val="20"/>
          <w:lang w:val="es-ES_tradnl" w:eastAsia="es-ES"/>
        </w:rPr>
        <w:t xml:space="preserve"> no. 6-definitivo-B, con una superficie de 504</w:t>
      </w:r>
      <w:r w:rsidR="008605BD" w:rsidRPr="00C80F8E">
        <w:rPr>
          <w:rFonts w:ascii="Abadi" w:hAnsi="Abadi" w:cstheme="minorHAnsi"/>
          <w:bCs/>
          <w:iCs/>
          <w:sz w:val="20"/>
          <w:szCs w:val="20"/>
          <w:lang w:val="es-ES_tradnl" w:eastAsia="es-ES"/>
        </w:rPr>
        <w:t xml:space="preserve">.36 metros cuadrados. Ambos inmuebles </w:t>
      </w:r>
      <w:r w:rsidR="00653502" w:rsidRPr="00C80F8E">
        <w:rPr>
          <w:rFonts w:ascii="Abadi" w:hAnsi="Abadi" w:cstheme="minorHAnsi"/>
          <w:bCs/>
          <w:iCs/>
          <w:sz w:val="20"/>
          <w:szCs w:val="20"/>
          <w:lang w:val="es-ES_tradnl" w:eastAsia="es-ES"/>
        </w:rPr>
        <w:t>están</w:t>
      </w:r>
      <w:r w:rsidR="001256DD" w:rsidRPr="00C80F8E">
        <w:rPr>
          <w:rFonts w:ascii="Abadi" w:hAnsi="Abadi" w:cstheme="minorHAnsi"/>
          <w:bCs/>
          <w:iCs/>
          <w:sz w:val="20"/>
          <w:szCs w:val="20"/>
          <w:lang w:val="es-ES_tradnl" w:eastAsia="es-ES"/>
        </w:rPr>
        <w:t xml:space="preserve"> registrados contablemente por un valor total consolidado de RD$15,200,000.00</w:t>
      </w:r>
      <w:r w:rsidR="008E2694" w:rsidRPr="00C80F8E">
        <w:rPr>
          <w:rFonts w:ascii="Abadi" w:hAnsi="Abadi" w:cstheme="minorHAnsi"/>
          <w:bCs/>
          <w:iCs/>
          <w:sz w:val="20"/>
          <w:szCs w:val="20"/>
          <w:lang w:val="es-ES_tradnl" w:eastAsia="es-ES"/>
        </w:rPr>
        <w:t>.  No obstante, al momento</w:t>
      </w:r>
      <w:r w:rsidR="004F4612" w:rsidRPr="00C80F8E">
        <w:rPr>
          <w:rFonts w:ascii="Abadi" w:hAnsi="Abadi" w:cstheme="minorHAnsi"/>
          <w:bCs/>
          <w:iCs/>
          <w:sz w:val="20"/>
          <w:szCs w:val="20"/>
          <w:lang w:val="es-ES_tradnl" w:eastAsia="es-ES"/>
        </w:rPr>
        <w:t>, dicho terreno</w:t>
      </w:r>
      <w:r w:rsidR="00E747C9" w:rsidRPr="00C80F8E">
        <w:rPr>
          <w:rFonts w:ascii="Abadi" w:hAnsi="Abadi" w:cstheme="minorHAnsi"/>
          <w:bCs/>
          <w:iCs/>
          <w:sz w:val="20"/>
          <w:szCs w:val="20"/>
          <w:lang w:val="es-ES_tradnl" w:eastAsia="es-ES"/>
        </w:rPr>
        <w:t xml:space="preserve"> </w:t>
      </w:r>
      <w:r w:rsidR="00F93303" w:rsidRPr="00C80F8E">
        <w:rPr>
          <w:rFonts w:ascii="Abadi" w:hAnsi="Abadi" w:cstheme="minorHAnsi"/>
          <w:bCs/>
          <w:iCs/>
          <w:sz w:val="20"/>
          <w:szCs w:val="20"/>
          <w:lang w:val="es-ES_tradnl" w:eastAsia="es-ES"/>
        </w:rPr>
        <w:t>solar 7-B de 671 mt</w:t>
      </w:r>
      <w:r w:rsidR="000360D3" w:rsidRPr="00C80F8E">
        <w:rPr>
          <w:rFonts w:ascii="Abadi" w:hAnsi="Abadi" w:cstheme="minorHAnsi"/>
          <w:bCs/>
          <w:iCs/>
          <w:sz w:val="20"/>
          <w:szCs w:val="20"/>
          <w:lang w:val="es-ES_tradnl" w:eastAsia="es-ES"/>
        </w:rPr>
        <w:t>2, Manzana</w:t>
      </w:r>
      <w:r w:rsidR="00F16164" w:rsidRPr="00C80F8E">
        <w:rPr>
          <w:rFonts w:ascii="Abadi" w:hAnsi="Abadi" w:cstheme="minorHAnsi"/>
          <w:bCs/>
          <w:iCs/>
          <w:sz w:val="20"/>
          <w:szCs w:val="20"/>
          <w:lang w:val="es-ES_tradnl" w:eastAsia="es-ES"/>
        </w:rPr>
        <w:t xml:space="preserve"> 159 DC 01</w:t>
      </w:r>
      <w:r w:rsidR="004F4612" w:rsidRPr="00C80F8E">
        <w:rPr>
          <w:rFonts w:ascii="Abadi" w:hAnsi="Abadi" w:cstheme="minorHAnsi"/>
          <w:bCs/>
          <w:iCs/>
          <w:sz w:val="20"/>
          <w:szCs w:val="20"/>
          <w:lang w:val="es-ES_tradnl" w:eastAsia="es-ES"/>
        </w:rPr>
        <w:t xml:space="preserve"> no se </w:t>
      </w:r>
      <w:r w:rsidR="00F330EC" w:rsidRPr="00C80F8E">
        <w:rPr>
          <w:rFonts w:ascii="Abadi" w:hAnsi="Abadi" w:cstheme="minorHAnsi"/>
          <w:bCs/>
          <w:iCs/>
          <w:sz w:val="20"/>
          <w:szCs w:val="20"/>
          <w:lang w:val="es-ES_tradnl" w:eastAsia="es-ES"/>
        </w:rPr>
        <w:t>encentraban</w:t>
      </w:r>
      <w:r w:rsidR="004F4612" w:rsidRPr="00C80F8E">
        <w:rPr>
          <w:rFonts w:ascii="Abadi" w:hAnsi="Abadi" w:cstheme="minorHAnsi"/>
          <w:bCs/>
          <w:iCs/>
          <w:sz w:val="20"/>
          <w:szCs w:val="20"/>
          <w:lang w:val="es-ES_tradnl" w:eastAsia="es-ES"/>
        </w:rPr>
        <w:t xml:space="preserve"> </w:t>
      </w:r>
      <w:r w:rsidR="00873718" w:rsidRPr="00C80F8E">
        <w:rPr>
          <w:rFonts w:ascii="Abadi" w:hAnsi="Abadi" w:cstheme="minorHAnsi"/>
          <w:bCs/>
          <w:iCs/>
          <w:sz w:val="20"/>
          <w:szCs w:val="20"/>
          <w:lang w:val="es-ES_tradnl" w:eastAsia="es-ES"/>
        </w:rPr>
        <w:t>registrado ante la Direccion General de Impuestos Internos (</w:t>
      </w:r>
      <w:r w:rsidR="007F5023" w:rsidRPr="00C80F8E">
        <w:rPr>
          <w:rFonts w:ascii="Abadi" w:hAnsi="Abadi" w:cstheme="minorHAnsi"/>
          <w:bCs/>
          <w:iCs/>
          <w:sz w:val="20"/>
          <w:szCs w:val="20"/>
          <w:lang w:val="es-ES_tradnl" w:eastAsia="es-ES"/>
        </w:rPr>
        <w:t xml:space="preserve">DGII), situación que se encuentra en proceso de </w:t>
      </w:r>
      <w:r w:rsidR="00C0673C" w:rsidRPr="00C80F8E">
        <w:rPr>
          <w:rFonts w:ascii="Abadi" w:hAnsi="Abadi" w:cstheme="minorHAnsi"/>
          <w:bCs/>
          <w:iCs/>
          <w:sz w:val="20"/>
          <w:szCs w:val="20"/>
          <w:lang w:val="es-ES_tradnl" w:eastAsia="es-ES"/>
        </w:rPr>
        <w:t xml:space="preserve">regularización mediante la remisión de los documentos requeridos para su </w:t>
      </w:r>
      <w:r w:rsidR="00BF2922" w:rsidRPr="00C80F8E">
        <w:rPr>
          <w:rFonts w:ascii="Abadi" w:hAnsi="Abadi" w:cstheme="minorHAnsi"/>
          <w:bCs/>
          <w:iCs/>
          <w:sz w:val="20"/>
          <w:szCs w:val="20"/>
          <w:lang w:val="es-ES_tradnl" w:eastAsia="es-ES"/>
        </w:rPr>
        <w:t>inscripción</w:t>
      </w:r>
      <w:r w:rsidR="0028315C" w:rsidRPr="00C80F8E">
        <w:rPr>
          <w:rFonts w:ascii="Abadi" w:hAnsi="Abadi" w:cstheme="minorHAnsi"/>
          <w:bCs/>
          <w:iCs/>
          <w:sz w:val="20"/>
          <w:szCs w:val="20"/>
          <w:lang w:val="es-ES_tradnl" w:eastAsia="es-ES"/>
        </w:rPr>
        <w:t xml:space="preserve">.  Asimismo, debido al tratamiento contable conjunto de ambos solares, el </w:t>
      </w:r>
      <w:r w:rsidR="00BF2922" w:rsidRPr="00C80F8E">
        <w:rPr>
          <w:rFonts w:ascii="Abadi" w:hAnsi="Abadi" w:cstheme="minorHAnsi"/>
          <w:bCs/>
          <w:iCs/>
          <w:sz w:val="20"/>
          <w:szCs w:val="20"/>
          <w:lang w:val="es-ES_tradnl" w:eastAsia="es-ES"/>
        </w:rPr>
        <w:t>valor correspondiente</w:t>
      </w:r>
      <w:r w:rsidR="0028315C" w:rsidRPr="00C80F8E">
        <w:rPr>
          <w:rFonts w:ascii="Abadi" w:hAnsi="Abadi" w:cstheme="minorHAnsi"/>
          <w:bCs/>
          <w:iCs/>
          <w:sz w:val="20"/>
          <w:szCs w:val="20"/>
          <w:lang w:val="es-ES_tradnl" w:eastAsia="es-ES"/>
        </w:rPr>
        <w:t xml:space="preserve"> al </w:t>
      </w:r>
      <w:r w:rsidR="00793696" w:rsidRPr="00C80F8E">
        <w:rPr>
          <w:rFonts w:ascii="Abadi" w:hAnsi="Abadi" w:cstheme="minorHAnsi"/>
          <w:bCs/>
          <w:iCs/>
          <w:sz w:val="20"/>
          <w:szCs w:val="20"/>
          <w:lang w:val="es-ES_tradnl" w:eastAsia="es-ES"/>
        </w:rPr>
        <w:t>Solar no. 7-</w:t>
      </w:r>
      <w:r w:rsidR="00793696" w:rsidRPr="00C80F8E">
        <w:rPr>
          <w:rFonts w:ascii="Abadi" w:hAnsi="Abadi" w:cstheme="minorHAnsi"/>
          <w:bCs/>
          <w:iCs/>
          <w:sz w:val="20"/>
          <w:szCs w:val="20"/>
          <w:lang w:val="es-ES_tradnl" w:eastAsia="es-ES"/>
        </w:rPr>
        <w:lastRenderedPageBreak/>
        <w:t xml:space="preserve">B, no se presenta de forma desagregada en los Estados Financieros, aunque </w:t>
      </w:r>
      <w:r w:rsidR="009A64B1" w:rsidRPr="00C80F8E">
        <w:rPr>
          <w:rFonts w:ascii="Abadi" w:hAnsi="Abadi" w:cstheme="minorHAnsi"/>
          <w:bCs/>
          <w:iCs/>
          <w:sz w:val="20"/>
          <w:szCs w:val="20"/>
          <w:lang w:val="es-ES_tradnl" w:eastAsia="es-ES"/>
        </w:rPr>
        <w:t>está</w:t>
      </w:r>
      <w:r w:rsidR="00BF2922" w:rsidRPr="00C80F8E">
        <w:rPr>
          <w:rFonts w:ascii="Abadi" w:hAnsi="Abadi" w:cstheme="minorHAnsi"/>
          <w:bCs/>
          <w:iCs/>
          <w:sz w:val="20"/>
          <w:szCs w:val="20"/>
          <w:lang w:val="es-ES_tradnl" w:eastAsia="es-ES"/>
        </w:rPr>
        <w:t xml:space="preserve"> incluido en el monto total registrado como propiedad de la entidad.</w:t>
      </w:r>
      <w:r w:rsidR="008D4971" w:rsidRPr="00C80F8E">
        <w:rPr>
          <w:rFonts w:ascii="Abadi" w:hAnsi="Abadi" w:cstheme="minorHAnsi"/>
          <w:bCs/>
          <w:iCs/>
          <w:sz w:val="20"/>
          <w:szCs w:val="20"/>
          <w:lang w:val="es-ES_tradnl" w:eastAsia="es-ES"/>
        </w:rPr>
        <w:t xml:space="preserve"> </w:t>
      </w:r>
    </w:p>
    <w:p w14:paraId="593F0F01" w14:textId="28459851" w:rsidR="008D4971" w:rsidRPr="00C80F8E" w:rsidRDefault="00E55F33" w:rsidP="008D4971">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1</w:t>
      </w:r>
      <w:r w:rsidR="001B6097" w:rsidRPr="00C80F8E">
        <w:rPr>
          <w:rFonts w:ascii="Abadi" w:hAnsi="Abadi" w:cstheme="minorHAnsi"/>
          <w:b/>
          <w:iCs/>
          <w:sz w:val="20"/>
          <w:szCs w:val="20"/>
          <w:lang w:val="es-ES_tradnl"/>
        </w:rPr>
        <w:t>2</w:t>
      </w:r>
      <w:r w:rsidRPr="00C80F8E">
        <w:rPr>
          <w:rFonts w:ascii="Abadi" w:hAnsi="Abadi" w:cstheme="minorHAnsi"/>
          <w:b/>
          <w:iCs/>
          <w:sz w:val="20"/>
          <w:szCs w:val="20"/>
          <w:lang w:val="es-ES_tradnl"/>
        </w:rPr>
        <w:t xml:space="preserve">.2 </w:t>
      </w:r>
      <w:r w:rsidR="008D4971" w:rsidRPr="00C80F8E">
        <w:rPr>
          <w:rFonts w:ascii="Abadi" w:hAnsi="Abadi" w:cstheme="minorHAnsi"/>
          <w:b/>
          <w:iCs/>
          <w:sz w:val="20"/>
          <w:szCs w:val="20"/>
          <w:lang w:val="es-ES_tradnl"/>
        </w:rPr>
        <w:t xml:space="preserve">Edificaciones </w:t>
      </w:r>
    </w:p>
    <w:p w14:paraId="7F1FBB65" w14:textId="51FCEE44" w:rsidR="007760D9" w:rsidRPr="00C80F8E" w:rsidRDefault="007760D9" w:rsidP="007760D9">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Al 30 de junio de 2025, el valor en libros de las edificaciones y sus componentes ascendió a RD$59,538,69</w:t>
      </w:r>
      <w:r w:rsidR="003A2E97">
        <w:rPr>
          <w:rFonts w:ascii="Abadi" w:hAnsi="Abadi" w:cstheme="minorHAnsi"/>
          <w:bCs/>
          <w:iCs/>
          <w:sz w:val="20"/>
          <w:szCs w:val="20"/>
          <w:lang w:val="es-ES_tradnl"/>
        </w:rPr>
        <w:t>6.19</w:t>
      </w:r>
      <w:r w:rsidRPr="00C80F8E">
        <w:rPr>
          <w:rFonts w:ascii="Abadi" w:hAnsi="Abadi" w:cstheme="minorHAnsi"/>
          <w:bCs/>
          <w:iCs/>
          <w:sz w:val="20"/>
          <w:szCs w:val="20"/>
          <w:lang w:val="es-ES_tradnl"/>
        </w:rPr>
        <w:t>, mientras que al 30 de junio de 2024 fue de RD$53,261,918.68. Esta diferencia representa un incremento absoluto de RD$6,276,777.22 y una variación relativa positiva de 11.78%.</w:t>
      </w:r>
    </w:p>
    <w:p w14:paraId="543794C3" w14:textId="4743275C" w:rsidR="007760D9" w:rsidRPr="00C80F8E" w:rsidRDefault="007760D9" w:rsidP="008D4971">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 xml:space="preserve">El valor bruto del activo se incrementó de RD$87,017,827.49 en 2024 a RD$95,061,773.95 en 2025, debido a mejoras y ampliaciones realizadas </w:t>
      </w:r>
      <w:r w:rsidR="00643144" w:rsidRPr="00C80F8E">
        <w:rPr>
          <w:rFonts w:ascii="Abadi" w:hAnsi="Abadi" w:cstheme="minorHAnsi"/>
          <w:bCs/>
          <w:iCs/>
          <w:sz w:val="20"/>
          <w:szCs w:val="20"/>
          <w:lang w:val="es-ES_tradnl"/>
        </w:rPr>
        <w:t xml:space="preserve">en </w:t>
      </w:r>
      <w:r w:rsidRPr="00C80F8E">
        <w:rPr>
          <w:rFonts w:ascii="Abadi" w:hAnsi="Abadi" w:cstheme="minorHAnsi"/>
          <w:bCs/>
          <w:iCs/>
          <w:sz w:val="20"/>
          <w:szCs w:val="20"/>
          <w:lang w:val="es-ES_tradnl"/>
        </w:rPr>
        <w:t>el ejercicio. La depreciación acumulada aumentó de RD$33,755,908.32 a RD$35,523,078.05, en función de la vida útil estimada y la aplicación del método de línea recta, conforme a la política contable establecida para este tipo de activo.</w:t>
      </w:r>
    </w:p>
    <w:tbl>
      <w:tblPr>
        <w:tblStyle w:val="Tablaconcuadrcula"/>
        <w:tblW w:w="0" w:type="auto"/>
        <w:tblInd w:w="66" w:type="dxa"/>
        <w:tblLook w:val="04A0" w:firstRow="1" w:lastRow="0" w:firstColumn="1" w:lastColumn="0" w:noHBand="0" w:noVBand="1"/>
      </w:tblPr>
      <w:tblGrid>
        <w:gridCol w:w="4867"/>
        <w:gridCol w:w="2257"/>
        <w:gridCol w:w="2114"/>
      </w:tblGrid>
      <w:tr w:rsidR="00156706" w:rsidRPr="00C80F8E" w14:paraId="7FF43E4B" w14:textId="77777777" w:rsidTr="00F07000">
        <w:trPr>
          <w:trHeight w:val="258"/>
        </w:trPr>
        <w:tc>
          <w:tcPr>
            <w:tcW w:w="4867" w:type="dxa"/>
            <w:shd w:val="clear" w:color="auto" w:fill="0070C0"/>
          </w:tcPr>
          <w:p w14:paraId="0F13E224" w14:textId="77777777" w:rsidR="00156706" w:rsidRPr="00C80F8E" w:rsidRDefault="00156706"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57" w:type="dxa"/>
            <w:tcBorders>
              <w:bottom w:val="single" w:sz="4" w:space="0" w:color="auto"/>
            </w:tcBorders>
            <w:shd w:val="clear" w:color="auto" w:fill="0070C0"/>
          </w:tcPr>
          <w:p w14:paraId="08D72645" w14:textId="282258A4" w:rsidR="00156706" w:rsidRPr="00C80F8E" w:rsidRDefault="00156706"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1C7AC5" w:rsidRPr="00C80F8E">
              <w:rPr>
                <w:rFonts w:ascii="Abadi" w:hAnsi="Abadi" w:cstheme="minorHAnsi"/>
                <w:b/>
                <w:bCs/>
                <w:color w:val="FFFFFF" w:themeColor="background1"/>
                <w:sz w:val="20"/>
                <w:szCs w:val="20"/>
                <w:lang w:val="es-ES_tradnl"/>
              </w:rPr>
              <w:t>5</w:t>
            </w:r>
          </w:p>
        </w:tc>
        <w:tc>
          <w:tcPr>
            <w:tcW w:w="2114" w:type="dxa"/>
            <w:tcBorders>
              <w:bottom w:val="single" w:sz="4" w:space="0" w:color="auto"/>
            </w:tcBorders>
            <w:shd w:val="clear" w:color="auto" w:fill="0070C0"/>
          </w:tcPr>
          <w:p w14:paraId="40E3D878" w14:textId="083D94CD" w:rsidR="00156706" w:rsidRPr="00C80F8E" w:rsidRDefault="00156706"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1C7AC5" w:rsidRPr="00C80F8E">
              <w:rPr>
                <w:rFonts w:ascii="Abadi" w:hAnsi="Abadi" w:cstheme="minorHAnsi"/>
                <w:b/>
                <w:bCs/>
                <w:color w:val="FFFFFF" w:themeColor="background1"/>
                <w:sz w:val="20"/>
                <w:szCs w:val="20"/>
                <w:lang w:val="es-ES_tradnl"/>
              </w:rPr>
              <w:t>4</w:t>
            </w:r>
          </w:p>
        </w:tc>
      </w:tr>
      <w:tr w:rsidR="000E28F9" w:rsidRPr="00C80F8E" w14:paraId="74653EC7" w14:textId="77777777" w:rsidTr="00570061">
        <w:trPr>
          <w:trHeight w:val="274"/>
        </w:trPr>
        <w:tc>
          <w:tcPr>
            <w:tcW w:w="4867" w:type="dxa"/>
          </w:tcPr>
          <w:p w14:paraId="5806C71E" w14:textId="77777777" w:rsidR="000E28F9" w:rsidRPr="00C80F8E" w:rsidRDefault="000E28F9" w:rsidP="000E28F9">
            <w:pPr>
              <w:jc w:val="both"/>
              <w:rPr>
                <w:rFonts w:ascii="Abadi" w:hAnsi="Abadi" w:cstheme="minorHAnsi"/>
                <w:sz w:val="20"/>
                <w:szCs w:val="20"/>
                <w:lang w:val="es-ES_tradnl"/>
              </w:rPr>
            </w:pPr>
            <w:r w:rsidRPr="00C80F8E">
              <w:rPr>
                <w:rFonts w:ascii="Abadi" w:hAnsi="Abadi" w:cstheme="minorHAnsi"/>
                <w:bCs/>
                <w:sz w:val="20"/>
                <w:szCs w:val="20"/>
                <w:lang w:val="es-ES_tradnl"/>
              </w:rPr>
              <w:t>Edificaciones Y Componente</w:t>
            </w:r>
          </w:p>
        </w:tc>
        <w:tc>
          <w:tcPr>
            <w:tcW w:w="2257" w:type="dxa"/>
            <w:tcBorders>
              <w:bottom w:val="single" w:sz="12" w:space="0" w:color="auto"/>
            </w:tcBorders>
            <w:vAlign w:val="bottom"/>
          </w:tcPr>
          <w:p w14:paraId="1711BE1D" w14:textId="51E6C2B6" w:rsidR="000E28F9" w:rsidRPr="00C80F8E" w:rsidRDefault="008D6D8D" w:rsidP="000E28F9">
            <w:pPr>
              <w:jc w:val="right"/>
              <w:rPr>
                <w:rFonts w:ascii="Abadi" w:hAnsi="Abadi" w:cstheme="minorHAnsi"/>
                <w:sz w:val="20"/>
                <w:szCs w:val="20"/>
                <w:lang w:val="es-ES_tradnl"/>
              </w:rPr>
            </w:pPr>
            <w:r w:rsidRPr="00C80F8E">
              <w:rPr>
                <w:rFonts w:ascii="Abadi" w:hAnsi="Abadi" w:cstheme="minorHAnsi"/>
                <w:sz w:val="20"/>
                <w:szCs w:val="20"/>
                <w:lang w:val="es-ES_tradnl"/>
              </w:rPr>
              <w:t>95</w:t>
            </w:r>
            <w:r w:rsidR="00D8480C" w:rsidRPr="00C80F8E">
              <w:rPr>
                <w:rFonts w:ascii="Abadi" w:hAnsi="Abadi" w:cstheme="minorHAnsi"/>
                <w:sz w:val="20"/>
                <w:szCs w:val="20"/>
                <w:lang w:val="es-ES_tradnl"/>
              </w:rPr>
              <w:t>,061,773.95</w:t>
            </w:r>
          </w:p>
        </w:tc>
        <w:tc>
          <w:tcPr>
            <w:tcW w:w="2114" w:type="dxa"/>
            <w:tcBorders>
              <w:bottom w:val="single" w:sz="12" w:space="0" w:color="auto"/>
            </w:tcBorders>
            <w:vAlign w:val="bottom"/>
          </w:tcPr>
          <w:p w14:paraId="1EB72DD0" w14:textId="43C6BF12" w:rsidR="000E28F9" w:rsidRPr="00C80F8E" w:rsidRDefault="000E28F9" w:rsidP="000E28F9">
            <w:pPr>
              <w:jc w:val="right"/>
              <w:rPr>
                <w:rFonts w:ascii="Abadi" w:hAnsi="Abadi" w:cstheme="minorHAnsi"/>
                <w:sz w:val="20"/>
                <w:szCs w:val="20"/>
                <w:lang w:val="es-ES_tradnl"/>
              </w:rPr>
            </w:pPr>
            <w:r w:rsidRPr="00C80F8E">
              <w:rPr>
                <w:rFonts w:ascii="Abadi" w:hAnsi="Abadi" w:cstheme="minorHAnsi"/>
                <w:sz w:val="20"/>
                <w:szCs w:val="20"/>
                <w:lang w:val="es-ES_tradnl"/>
              </w:rPr>
              <w:t>87,017,827.49</w:t>
            </w:r>
          </w:p>
        </w:tc>
      </w:tr>
      <w:tr w:rsidR="000E28F9" w:rsidRPr="00C80F8E" w14:paraId="2B51ABF2" w14:textId="77777777" w:rsidTr="00570061">
        <w:trPr>
          <w:trHeight w:val="258"/>
        </w:trPr>
        <w:tc>
          <w:tcPr>
            <w:tcW w:w="4867" w:type="dxa"/>
            <w:tcBorders>
              <w:right w:val="single" w:sz="2" w:space="0" w:color="auto"/>
            </w:tcBorders>
          </w:tcPr>
          <w:p w14:paraId="6B265DAA" w14:textId="77777777" w:rsidR="000E28F9" w:rsidRPr="00C80F8E" w:rsidRDefault="000E28F9" w:rsidP="000E28F9">
            <w:pPr>
              <w:jc w:val="both"/>
              <w:rPr>
                <w:rFonts w:ascii="Abadi" w:hAnsi="Abadi" w:cstheme="minorHAnsi"/>
                <w:b/>
                <w:sz w:val="20"/>
                <w:szCs w:val="20"/>
                <w:lang w:val="es-ES_tradnl"/>
              </w:rPr>
            </w:pPr>
            <w:r w:rsidRPr="00C80F8E">
              <w:rPr>
                <w:rFonts w:ascii="Abadi" w:hAnsi="Abadi" w:cstheme="minorHAnsi"/>
                <w:b/>
                <w:sz w:val="20"/>
                <w:szCs w:val="20"/>
                <w:lang w:val="es-ES_tradnl"/>
              </w:rPr>
              <w:t>Total</w:t>
            </w:r>
          </w:p>
        </w:tc>
        <w:tc>
          <w:tcPr>
            <w:tcW w:w="2257" w:type="dxa"/>
            <w:tcBorders>
              <w:top w:val="single" w:sz="12" w:space="0" w:color="auto"/>
              <w:left w:val="single" w:sz="2" w:space="0" w:color="auto"/>
              <w:bottom w:val="single" w:sz="2" w:space="0" w:color="auto"/>
              <w:right w:val="single" w:sz="2" w:space="0" w:color="auto"/>
            </w:tcBorders>
            <w:vAlign w:val="bottom"/>
          </w:tcPr>
          <w:p w14:paraId="39E428E3" w14:textId="6B363A8C" w:rsidR="000E28F9" w:rsidRPr="00C80F8E" w:rsidRDefault="00422063" w:rsidP="000E28F9">
            <w:pPr>
              <w:jc w:val="right"/>
              <w:rPr>
                <w:rFonts w:ascii="Abadi" w:hAnsi="Abadi" w:cstheme="minorHAnsi"/>
                <w:b/>
                <w:bCs/>
                <w:sz w:val="20"/>
                <w:szCs w:val="20"/>
                <w:lang w:val="es-ES_tradnl"/>
              </w:rPr>
            </w:pPr>
            <w:r w:rsidRPr="00C80F8E">
              <w:rPr>
                <w:rFonts w:ascii="Abadi" w:hAnsi="Abadi" w:cstheme="minorHAnsi"/>
                <w:b/>
                <w:bCs/>
                <w:sz w:val="20"/>
                <w:szCs w:val="20"/>
                <w:lang w:val="es-ES_tradnl"/>
              </w:rPr>
              <w:t>95,061,773.95</w:t>
            </w:r>
          </w:p>
        </w:tc>
        <w:tc>
          <w:tcPr>
            <w:tcW w:w="2114" w:type="dxa"/>
            <w:tcBorders>
              <w:top w:val="single" w:sz="12" w:space="0" w:color="auto"/>
              <w:left w:val="single" w:sz="2" w:space="0" w:color="auto"/>
              <w:bottom w:val="single" w:sz="2" w:space="0" w:color="auto"/>
              <w:right w:val="single" w:sz="2" w:space="0" w:color="auto"/>
            </w:tcBorders>
            <w:vAlign w:val="bottom"/>
          </w:tcPr>
          <w:p w14:paraId="01015620" w14:textId="2FE061B3" w:rsidR="000E28F9" w:rsidRPr="00C80F8E" w:rsidRDefault="000E28F9" w:rsidP="000E28F9">
            <w:pPr>
              <w:jc w:val="right"/>
              <w:rPr>
                <w:rFonts w:ascii="Abadi" w:hAnsi="Abadi" w:cstheme="minorHAnsi"/>
                <w:b/>
                <w:bCs/>
                <w:sz w:val="20"/>
                <w:szCs w:val="20"/>
                <w:lang w:val="es-ES_tradnl"/>
              </w:rPr>
            </w:pPr>
            <w:r w:rsidRPr="00C80F8E">
              <w:rPr>
                <w:rFonts w:ascii="Abadi" w:hAnsi="Abadi" w:cstheme="minorHAnsi"/>
                <w:b/>
                <w:bCs/>
                <w:sz w:val="20"/>
                <w:szCs w:val="20"/>
                <w:lang w:val="es-ES_tradnl"/>
              </w:rPr>
              <w:t>87,017,827.49</w:t>
            </w:r>
          </w:p>
        </w:tc>
      </w:tr>
      <w:tr w:rsidR="000E28F9" w:rsidRPr="00C80F8E" w14:paraId="32BE6D94" w14:textId="77777777" w:rsidTr="00570061">
        <w:trPr>
          <w:trHeight w:val="274"/>
        </w:trPr>
        <w:tc>
          <w:tcPr>
            <w:tcW w:w="4867" w:type="dxa"/>
          </w:tcPr>
          <w:p w14:paraId="773E1DBB" w14:textId="77777777" w:rsidR="000E28F9" w:rsidRPr="00C80F8E" w:rsidRDefault="000E28F9" w:rsidP="000E28F9">
            <w:pPr>
              <w:jc w:val="both"/>
              <w:rPr>
                <w:rFonts w:ascii="Abadi" w:hAnsi="Abadi" w:cstheme="minorHAnsi"/>
                <w:bCs/>
                <w:sz w:val="20"/>
                <w:szCs w:val="20"/>
                <w:lang w:val="es-ES_tradnl"/>
              </w:rPr>
            </w:pPr>
            <w:r w:rsidRPr="00C80F8E">
              <w:rPr>
                <w:rFonts w:ascii="Abadi" w:hAnsi="Abadi" w:cstheme="minorHAnsi"/>
                <w:bCs/>
                <w:sz w:val="20"/>
                <w:szCs w:val="20"/>
                <w:lang w:val="es-ES_tradnl"/>
              </w:rPr>
              <w:t>Depreciación</w:t>
            </w:r>
          </w:p>
        </w:tc>
        <w:tc>
          <w:tcPr>
            <w:tcW w:w="2257" w:type="dxa"/>
            <w:tcBorders>
              <w:top w:val="single" w:sz="2" w:space="0" w:color="auto"/>
              <w:bottom w:val="single" w:sz="12" w:space="0" w:color="auto"/>
            </w:tcBorders>
            <w:vAlign w:val="bottom"/>
          </w:tcPr>
          <w:p w14:paraId="25078AD4" w14:textId="73842C52" w:rsidR="000E28F9" w:rsidRPr="00C80F8E" w:rsidRDefault="00D8480C" w:rsidP="000E28F9">
            <w:pPr>
              <w:jc w:val="right"/>
              <w:rPr>
                <w:rFonts w:ascii="Abadi" w:hAnsi="Abadi" w:cstheme="minorHAnsi"/>
                <w:sz w:val="20"/>
                <w:szCs w:val="20"/>
                <w:lang w:val="es-ES_tradnl"/>
              </w:rPr>
            </w:pPr>
            <w:r w:rsidRPr="00C80F8E">
              <w:rPr>
                <w:rFonts w:ascii="Abadi" w:hAnsi="Abadi" w:cstheme="minorHAnsi"/>
                <w:sz w:val="20"/>
                <w:szCs w:val="20"/>
                <w:lang w:val="es-ES_tradnl"/>
              </w:rPr>
              <w:t>(35,523,07</w:t>
            </w:r>
            <w:r w:rsidR="00E600CD">
              <w:rPr>
                <w:rFonts w:ascii="Abadi" w:hAnsi="Abadi" w:cstheme="minorHAnsi"/>
                <w:sz w:val="20"/>
                <w:szCs w:val="20"/>
                <w:lang w:val="es-ES_tradnl"/>
              </w:rPr>
              <w:t>7</w:t>
            </w:r>
            <w:r w:rsidRPr="00C80F8E">
              <w:rPr>
                <w:rFonts w:ascii="Abadi" w:hAnsi="Abadi" w:cstheme="minorHAnsi"/>
                <w:sz w:val="20"/>
                <w:szCs w:val="20"/>
                <w:lang w:val="es-ES_tradnl"/>
              </w:rPr>
              <w:t>.</w:t>
            </w:r>
            <w:r w:rsidR="002F3D94">
              <w:rPr>
                <w:rFonts w:ascii="Abadi" w:hAnsi="Abadi" w:cstheme="minorHAnsi"/>
                <w:sz w:val="20"/>
                <w:szCs w:val="20"/>
                <w:lang w:val="es-ES_tradnl"/>
              </w:rPr>
              <w:t>76</w:t>
            </w:r>
            <w:r w:rsidRPr="00C80F8E">
              <w:rPr>
                <w:rFonts w:ascii="Abadi" w:hAnsi="Abadi" w:cstheme="minorHAnsi"/>
                <w:sz w:val="20"/>
                <w:szCs w:val="20"/>
                <w:lang w:val="es-ES_tradnl"/>
              </w:rPr>
              <w:t>)</w:t>
            </w:r>
          </w:p>
        </w:tc>
        <w:tc>
          <w:tcPr>
            <w:tcW w:w="2114" w:type="dxa"/>
            <w:tcBorders>
              <w:top w:val="single" w:sz="2" w:space="0" w:color="auto"/>
              <w:bottom w:val="single" w:sz="12" w:space="0" w:color="auto"/>
            </w:tcBorders>
            <w:vAlign w:val="bottom"/>
          </w:tcPr>
          <w:p w14:paraId="2D65BADD" w14:textId="51FAB074" w:rsidR="000E28F9" w:rsidRPr="00C80F8E" w:rsidRDefault="000E28F9" w:rsidP="000E28F9">
            <w:pPr>
              <w:jc w:val="right"/>
              <w:rPr>
                <w:rFonts w:ascii="Abadi" w:hAnsi="Abadi" w:cstheme="minorHAnsi"/>
                <w:sz w:val="20"/>
                <w:szCs w:val="20"/>
                <w:lang w:val="es-ES_tradnl"/>
              </w:rPr>
            </w:pPr>
            <w:r w:rsidRPr="00C80F8E">
              <w:rPr>
                <w:rFonts w:ascii="Abadi" w:hAnsi="Abadi" w:cstheme="minorHAnsi"/>
                <w:sz w:val="20"/>
                <w:szCs w:val="20"/>
                <w:lang w:val="es-ES_tradnl"/>
              </w:rPr>
              <w:t>(</w:t>
            </w:r>
            <w:r w:rsidR="00A12B07" w:rsidRPr="00C80F8E">
              <w:rPr>
                <w:rFonts w:ascii="Abadi" w:hAnsi="Abadi" w:cstheme="minorHAnsi"/>
                <w:sz w:val="20"/>
                <w:szCs w:val="20"/>
                <w:lang w:val="es-ES_tradnl"/>
              </w:rPr>
              <w:t>33,755,908.</w:t>
            </w:r>
            <w:r w:rsidR="000D382F" w:rsidRPr="00C80F8E">
              <w:rPr>
                <w:rFonts w:ascii="Abadi" w:hAnsi="Abadi" w:cstheme="minorHAnsi"/>
                <w:sz w:val="20"/>
                <w:szCs w:val="20"/>
                <w:lang w:val="es-ES_tradnl"/>
              </w:rPr>
              <w:t>32</w:t>
            </w:r>
            <w:r w:rsidRPr="00C80F8E">
              <w:rPr>
                <w:rFonts w:ascii="Abadi" w:hAnsi="Abadi" w:cstheme="minorHAnsi"/>
                <w:sz w:val="20"/>
                <w:szCs w:val="20"/>
                <w:lang w:val="es-ES_tradnl"/>
              </w:rPr>
              <w:t>)</w:t>
            </w:r>
          </w:p>
        </w:tc>
      </w:tr>
      <w:tr w:rsidR="000E28F9" w:rsidRPr="00C80F8E" w14:paraId="2E156B3D" w14:textId="77777777" w:rsidTr="00570061">
        <w:trPr>
          <w:trHeight w:val="258"/>
        </w:trPr>
        <w:tc>
          <w:tcPr>
            <w:tcW w:w="4867" w:type="dxa"/>
          </w:tcPr>
          <w:p w14:paraId="4E7E9092" w14:textId="77777777" w:rsidR="000E28F9" w:rsidRPr="00C80F8E" w:rsidRDefault="000E28F9" w:rsidP="000E28F9">
            <w:pPr>
              <w:jc w:val="both"/>
              <w:rPr>
                <w:rFonts w:ascii="Abadi" w:hAnsi="Abadi" w:cstheme="minorHAnsi"/>
                <w:b/>
                <w:bCs/>
                <w:sz w:val="20"/>
                <w:szCs w:val="20"/>
                <w:lang w:val="es-ES_tradnl"/>
              </w:rPr>
            </w:pPr>
            <w:r w:rsidRPr="00C80F8E">
              <w:rPr>
                <w:rFonts w:ascii="Abadi" w:hAnsi="Abadi" w:cstheme="minorHAnsi"/>
                <w:b/>
                <w:bCs/>
                <w:sz w:val="20"/>
                <w:szCs w:val="20"/>
                <w:lang w:val="es-ES_tradnl"/>
              </w:rPr>
              <w:t>Total, Edificaciones Y Componente</w:t>
            </w:r>
          </w:p>
        </w:tc>
        <w:tc>
          <w:tcPr>
            <w:tcW w:w="2257" w:type="dxa"/>
            <w:tcBorders>
              <w:top w:val="single" w:sz="12" w:space="0" w:color="auto"/>
              <w:bottom w:val="double" w:sz="4" w:space="0" w:color="auto"/>
            </w:tcBorders>
            <w:vAlign w:val="bottom"/>
          </w:tcPr>
          <w:p w14:paraId="687D07A7" w14:textId="77AA92C7" w:rsidR="000E28F9" w:rsidRPr="00C80F8E" w:rsidRDefault="00422063" w:rsidP="000E28F9">
            <w:pPr>
              <w:jc w:val="right"/>
              <w:rPr>
                <w:rFonts w:ascii="Abadi" w:hAnsi="Abadi" w:cstheme="minorHAnsi"/>
                <w:b/>
                <w:bCs/>
                <w:sz w:val="20"/>
                <w:szCs w:val="20"/>
                <w:lang w:val="es-ES_tradnl"/>
              </w:rPr>
            </w:pPr>
            <w:r w:rsidRPr="00C80F8E">
              <w:rPr>
                <w:rFonts w:ascii="Abadi" w:hAnsi="Abadi" w:cstheme="minorHAnsi"/>
                <w:b/>
                <w:bCs/>
                <w:sz w:val="20"/>
                <w:szCs w:val="20"/>
                <w:lang w:val="es-ES_tradnl"/>
              </w:rPr>
              <w:t>59,538,69</w:t>
            </w:r>
            <w:r w:rsidR="002F3D94">
              <w:rPr>
                <w:rFonts w:ascii="Abadi" w:hAnsi="Abadi" w:cstheme="minorHAnsi"/>
                <w:b/>
                <w:bCs/>
                <w:sz w:val="20"/>
                <w:szCs w:val="20"/>
                <w:lang w:val="es-ES_tradnl"/>
              </w:rPr>
              <w:t>6.19</w:t>
            </w:r>
          </w:p>
        </w:tc>
        <w:tc>
          <w:tcPr>
            <w:tcW w:w="2114" w:type="dxa"/>
            <w:tcBorders>
              <w:top w:val="single" w:sz="12" w:space="0" w:color="auto"/>
              <w:bottom w:val="double" w:sz="4" w:space="0" w:color="auto"/>
            </w:tcBorders>
            <w:vAlign w:val="bottom"/>
          </w:tcPr>
          <w:p w14:paraId="1F9B90F9" w14:textId="4D85A623" w:rsidR="000E28F9" w:rsidRPr="00C80F8E" w:rsidRDefault="00570061" w:rsidP="000E28F9">
            <w:pPr>
              <w:jc w:val="right"/>
              <w:rPr>
                <w:rFonts w:ascii="Abadi" w:hAnsi="Abadi" w:cstheme="minorHAnsi"/>
                <w:b/>
                <w:bCs/>
                <w:sz w:val="20"/>
                <w:szCs w:val="20"/>
                <w:lang w:val="es-ES_tradnl"/>
              </w:rPr>
            </w:pPr>
            <w:r w:rsidRPr="00C80F8E">
              <w:rPr>
                <w:rFonts w:ascii="Abadi" w:hAnsi="Abadi" w:cstheme="minorHAnsi"/>
                <w:b/>
                <w:sz w:val="20"/>
                <w:szCs w:val="20"/>
                <w:lang w:val="es-ES_tradnl"/>
              </w:rPr>
              <w:t>53,261,</w:t>
            </w:r>
            <w:r w:rsidR="00A36FCF">
              <w:rPr>
                <w:rFonts w:ascii="Abadi" w:hAnsi="Abadi" w:cstheme="minorHAnsi"/>
                <w:b/>
                <w:sz w:val="20"/>
                <w:szCs w:val="20"/>
                <w:lang w:val="es-ES_tradnl"/>
              </w:rPr>
              <w:t>9</w:t>
            </w:r>
            <w:r w:rsidR="006D5C41">
              <w:rPr>
                <w:rFonts w:ascii="Abadi" w:hAnsi="Abadi" w:cstheme="minorHAnsi"/>
                <w:b/>
                <w:sz w:val="20"/>
                <w:szCs w:val="20"/>
                <w:lang w:val="es-ES_tradnl"/>
              </w:rPr>
              <w:t>19.17</w:t>
            </w:r>
          </w:p>
        </w:tc>
      </w:tr>
    </w:tbl>
    <w:p w14:paraId="7042D94C" w14:textId="77777777" w:rsidR="007059D3" w:rsidRPr="00C80F8E" w:rsidRDefault="007059D3" w:rsidP="009A322F">
      <w:pPr>
        <w:spacing w:line="240" w:lineRule="auto"/>
        <w:contextualSpacing/>
        <w:jc w:val="both"/>
        <w:rPr>
          <w:rFonts w:ascii="Abadi" w:hAnsi="Abadi" w:cstheme="minorHAnsi"/>
          <w:bCs/>
          <w:iCs/>
          <w:sz w:val="20"/>
          <w:szCs w:val="20"/>
          <w:lang w:val="es-ES_tradnl" w:eastAsia="es-ES"/>
        </w:rPr>
      </w:pPr>
    </w:p>
    <w:p w14:paraId="632F7081" w14:textId="72BDA3D3" w:rsidR="008D4971" w:rsidRPr="00C80F8E" w:rsidRDefault="008D4971" w:rsidP="008D4971">
      <w:pPr>
        <w:spacing w:line="360" w:lineRule="auto"/>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Esta partida está compuesta de la siguiente manera:</w:t>
      </w:r>
    </w:p>
    <w:tbl>
      <w:tblPr>
        <w:tblW w:w="5807" w:type="dxa"/>
        <w:tblCellMar>
          <w:left w:w="70" w:type="dxa"/>
          <w:right w:w="70" w:type="dxa"/>
        </w:tblCellMar>
        <w:tblLook w:val="04A0" w:firstRow="1" w:lastRow="0" w:firstColumn="1" w:lastColumn="0" w:noHBand="0" w:noVBand="1"/>
      </w:tblPr>
      <w:tblGrid>
        <w:gridCol w:w="3397"/>
        <w:gridCol w:w="2410"/>
      </w:tblGrid>
      <w:tr w:rsidR="00E85F0D" w:rsidRPr="00C80F8E" w14:paraId="57409AC0" w14:textId="77777777" w:rsidTr="00E85F0D">
        <w:trPr>
          <w:trHeight w:val="300"/>
        </w:trPr>
        <w:tc>
          <w:tcPr>
            <w:tcW w:w="3397" w:type="dxa"/>
            <w:tcBorders>
              <w:top w:val="nil"/>
              <w:left w:val="single" w:sz="4" w:space="0" w:color="auto"/>
              <w:bottom w:val="nil"/>
              <w:right w:val="single" w:sz="4" w:space="0" w:color="auto"/>
            </w:tcBorders>
            <w:shd w:val="clear" w:color="000000" w:fill="0070C0"/>
            <w:vAlign w:val="center"/>
            <w:hideMark/>
          </w:tcPr>
          <w:p w14:paraId="227FFEF1" w14:textId="77777777" w:rsidR="00E85F0D" w:rsidRPr="00C80F8E" w:rsidRDefault="00E85F0D" w:rsidP="00E85F0D">
            <w:pPr>
              <w:spacing w:after="0" w:line="240" w:lineRule="auto"/>
              <w:jc w:val="center"/>
              <w:rPr>
                <w:rFonts w:ascii="Abadi" w:eastAsia="Times New Roman" w:hAnsi="Abadi" w:cs="Calibri"/>
                <w:b/>
                <w:bCs/>
                <w:color w:val="FFFFFF"/>
                <w:sz w:val="20"/>
                <w:szCs w:val="20"/>
                <w:lang w:val="es-ES_tradnl" w:eastAsia="es-DO"/>
              </w:rPr>
            </w:pPr>
            <w:r w:rsidRPr="00C80F8E">
              <w:rPr>
                <w:rFonts w:ascii="Abadi" w:eastAsia="Times New Roman" w:hAnsi="Abadi" w:cs="Calibri"/>
                <w:b/>
                <w:bCs/>
                <w:color w:val="FFFFFF"/>
                <w:sz w:val="20"/>
                <w:szCs w:val="20"/>
                <w:lang w:val="es-ES_tradnl" w:eastAsia="es-DO"/>
              </w:rPr>
              <w:t>Detalle</w:t>
            </w:r>
          </w:p>
        </w:tc>
        <w:tc>
          <w:tcPr>
            <w:tcW w:w="2410" w:type="dxa"/>
            <w:tcBorders>
              <w:top w:val="nil"/>
              <w:left w:val="single" w:sz="4" w:space="0" w:color="auto"/>
              <w:bottom w:val="nil"/>
              <w:right w:val="single" w:sz="4" w:space="0" w:color="auto"/>
            </w:tcBorders>
            <w:shd w:val="clear" w:color="000000" w:fill="0070C0"/>
            <w:vAlign w:val="center"/>
            <w:hideMark/>
          </w:tcPr>
          <w:p w14:paraId="23643B38" w14:textId="77777777" w:rsidR="00E85F0D" w:rsidRPr="00C80F8E" w:rsidRDefault="00E85F0D" w:rsidP="00E85F0D">
            <w:pPr>
              <w:spacing w:after="0" w:line="240" w:lineRule="auto"/>
              <w:jc w:val="center"/>
              <w:rPr>
                <w:rFonts w:ascii="Abadi" w:eastAsia="Times New Roman" w:hAnsi="Abadi" w:cs="Calibri"/>
                <w:b/>
                <w:bCs/>
                <w:color w:val="FFFFFF"/>
                <w:sz w:val="20"/>
                <w:szCs w:val="20"/>
                <w:lang w:val="es-ES_tradnl" w:eastAsia="es-DO"/>
              </w:rPr>
            </w:pPr>
            <w:r w:rsidRPr="00C80F8E">
              <w:rPr>
                <w:rFonts w:ascii="Abadi" w:eastAsia="Times New Roman" w:hAnsi="Abadi" w:cs="Calibri"/>
                <w:b/>
                <w:bCs/>
                <w:color w:val="FFFFFF"/>
                <w:sz w:val="20"/>
                <w:szCs w:val="20"/>
                <w:lang w:val="es-ES_tradnl" w:eastAsia="es-DO"/>
              </w:rPr>
              <w:t>Costos</w:t>
            </w:r>
          </w:p>
        </w:tc>
      </w:tr>
      <w:tr w:rsidR="00E85F0D" w:rsidRPr="00C80F8E" w14:paraId="582543A3" w14:textId="77777777" w:rsidTr="00E85F0D">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647D958F"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Adquisición</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0DF78AC"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19,901,000.00 </w:t>
            </w:r>
          </w:p>
        </w:tc>
      </w:tr>
      <w:tr w:rsidR="00E85F0D" w:rsidRPr="00C80F8E" w14:paraId="65547BD6" w14:textId="77777777" w:rsidTr="00E85F0D">
        <w:trPr>
          <w:trHeight w:val="300"/>
        </w:trPr>
        <w:tc>
          <w:tcPr>
            <w:tcW w:w="3397" w:type="dxa"/>
            <w:tcBorders>
              <w:top w:val="nil"/>
              <w:left w:val="single" w:sz="4" w:space="0" w:color="auto"/>
              <w:bottom w:val="single" w:sz="4" w:space="0" w:color="auto"/>
              <w:right w:val="single" w:sz="4" w:space="0" w:color="auto"/>
            </w:tcBorders>
            <w:noWrap/>
            <w:vAlign w:val="bottom"/>
            <w:hideMark/>
          </w:tcPr>
          <w:p w14:paraId="28A0A64C"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Cargos por Transferencias</w:t>
            </w:r>
          </w:p>
        </w:tc>
        <w:tc>
          <w:tcPr>
            <w:tcW w:w="2410" w:type="dxa"/>
            <w:tcBorders>
              <w:top w:val="nil"/>
              <w:left w:val="single" w:sz="4" w:space="0" w:color="auto"/>
              <w:bottom w:val="single" w:sz="4" w:space="0" w:color="auto"/>
              <w:right w:val="single" w:sz="4" w:space="0" w:color="auto"/>
            </w:tcBorders>
            <w:noWrap/>
            <w:vAlign w:val="center"/>
            <w:hideMark/>
          </w:tcPr>
          <w:p w14:paraId="36188288"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1,129,466.59 </w:t>
            </w:r>
          </w:p>
        </w:tc>
      </w:tr>
      <w:tr w:rsidR="00E85F0D" w:rsidRPr="00C80F8E" w14:paraId="05954FC1" w14:textId="77777777" w:rsidTr="00E85F0D">
        <w:trPr>
          <w:trHeight w:val="315"/>
        </w:trPr>
        <w:tc>
          <w:tcPr>
            <w:tcW w:w="3397" w:type="dxa"/>
            <w:tcBorders>
              <w:top w:val="nil"/>
              <w:left w:val="single" w:sz="4" w:space="0" w:color="auto"/>
              <w:bottom w:val="single" w:sz="8" w:space="0" w:color="auto"/>
              <w:right w:val="single" w:sz="4" w:space="0" w:color="auto"/>
            </w:tcBorders>
            <w:shd w:val="clear" w:color="000000" w:fill="FFFFFF"/>
            <w:noWrap/>
            <w:vAlign w:val="bottom"/>
            <w:hideMark/>
          </w:tcPr>
          <w:p w14:paraId="751FB82D" w14:textId="7D558879" w:rsidR="00E85F0D" w:rsidRPr="00C80F8E" w:rsidRDefault="00E85F0D" w:rsidP="00E85F0D">
            <w:pPr>
              <w:spacing w:after="0" w:line="240" w:lineRule="auto"/>
              <w:jc w:val="center"/>
              <w:rPr>
                <w:rFonts w:ascii="Abadi" w:eastAsia="Times New Roman" w:hAnsi="Abadi" w:cs="Calibri"/>
                <w:b/>
                <w:bCs/>
                <w:color w:val="000000"/>
                <w:sz w:val="20"/>
                <w:szCs w:val="20"/>
                <w:lang w:val="es-ES_tradnl" w:eastAsia="es-DO"/>
              </w:rPr>
            </w:pPr>
            <w:r w:rsidRPr="00C80F8E">
              <w:rPr>
                <w:rFonts w:ascii="Abadi" w:eastAsia="Times New Roman" w:hAnsi="Abadi" w:cs="Calibri"/>
                <w:b/>
                <w:bCs/>
                <w:color w:val="000000"/>
                <w:sz w:val="20"/>
                <w:szCs w:val="20"/>
                <w:lang w:val="es-ES_tradnl" w:eastAsia="es-DO"/>
              </w:rPr>
              <w:t xml:space="preserve"> </w:t>
            </w:r>
            <w:r w:rsidR="001C7AC5" w:rsidRPr="00C80F8E">
              <w:rPr>
                <w:rFonts w:ascii="Abadi" w:eastAsia="Times New Roman" w:hAnsi="Abadi" w:cs="Calibri"/>
                <w:b/>
                <w:bCs/>
                <w:color w:val="000000"/>
                <w:sz w:val="20"/>
                <w:szCs w:val="20"/>
                <w:lang w:val="es-ES_tradnl" w:eastAsia="es-DO"/>
              </w:rPr>
              <w:t>Subtotal</w:t>
            </w:r>
            <w:r w:rsidRPr="00C80F8E">
              <w:rPr>
                <w:rFonts w:ascii="Abadi" w:eastAsia="Times New Roman" w:hAnsi="Abadi" w:cs="Calibri"/>
                <w:b/>
                <w:bCs/>
                <w:color w:val="000000"/>
                <w:sz w:val="20"/>
                <w:szCs w:val="20"/>
                <w:lang w:val="es-ES_tradnl" w:eastAsia="es-DO"/>
              </w:rPr>
              <w:t xml:space="preserve"> </w:t>
            </w:r>
          </w:p>
        </w:tc>
        <w:tc>
          <w:tcPr>
            <w:tcW w:w="2410" w:type="dxa"/>
            <w:tcBorders>
              <w:top w:val="nil"/>
              <w:left w:val="single" w:sz="4" w:space="0" w:color="auto"/>
              <w:bottom w:val="single" w:sz="8" w:space="0" w:color="auto"/>
              <w:right w:val="single" w:sz="4" w:space="0" w:color="auto"/>
            </w:tcBorders>
            <w:shd w:val="clear" w:color="000000" w:fill="FFFFFF"/>
            <w:noWrap/>
            <w:vAlign w:val="bottom"/>
            <w:hideMark/>
          </w:tcPr>
          <w:p w14:paraId="5CE984B7" w14:textId="77777777" w:rsidR="00E85F0D" w:rsidRPr="00C80F8E" w:rsidRDefault="00E85F0D" w:rsidP="00217427">
            <w:pPr>
              <w:spacing w:after="0" w:line="240" w:lineRule="auto"/>
              <w:jc w:val="right"/>
              <w:rPr>
                <w:rFonts w:ascii="Abadi" w:eastAsia="Times New Roman" w:hAnsi="Abadi" w:cs="Calibri"/>
                <w:b/>
                <w:bCs/>
                <w:color w:val="000000"/>
                <w:sz w:val="20"/>
                <w:szCs w:val="20"/>
                <w:lang w:val="es-ES_tradnl" w:eastAsia="es-DO"/>
              </w:rPr>
            </w:pPr>
            <w:r w:rsidRPr="00C80F8E">
              <w:rPr>
                <w:rFonts w:ascii="Abadi" w:eastAsia="Times New Roman" w:hAnsi="Abadi" w:cs="Calibri"/>
                <w:b/>
                <w:bCs/>
                <w:color w:val="000000"/>
                <w:sz w:val="20"/>
                <w:szCs w:val="20"/>
                <w:lang w:val="es-ES_tradnl" w:eastAsia="es-DO"/>
              </w:rPr>
              <w:t xml:space="preserve">  21,030,466.59 </w:t>
            </w:r>
          </w:p>
        </w:tc>
      </w:tr>
      <w:tr w:rsidR="00E85F0D" w:rsidRPr="00C80F8E" w14:paraId="33E62DFD" w14:textId="17112A65" w:rsidTr="00E85F0D">
        <w:trPr>
          <w:trHeight w:val="300"/>
        </w:trPr>
        <w:tc>
          <w:tcPr>
            <w:tcW w:w="3397" w:type="dxa"/>
            <w:tcBorders>
              <w:top w:val="single" w:sz="8" w:space="0" w:color="auto"/>
              <w:left w:val="single" w:sz="4" w:space="0" w:color="auto"/>
              <w:bottom w:val="nil"/>
              <w:right w:val="nil"/>
            </w:tcBorders>
            <w:shd w:val="clear" w:color="000000" w:fill="0070C0"/>
            <w:vAlign w:val="center"/>
            <w:hideMark/>
          </w:tcPr>
          <w:p w14:paraId="4C214879" w14:textId="77777777" w:rsidR="00E85F0D" w:rsidRPr="00C80F8E" w:rsidRDefault="00E85F0D" w:rsidP="00E85F0D">
            <w:pPr>
              <w:spacing w:after="0" w:line="240" w:lineRule="auto"/>
              <w:jc w:val="center"/>
              <w:rPr>
                <w:rFonts w:ascii="Abadi" w:eastAsia="Times New Roman" w:hAnsi="Abadi" w:cs="Calibri"/>
                <w:b/>
                <w:bCs/>
                <w:color w:val="FFFFFF"/>
                <w:sz w:val="20"/>
                <w:szCs w:val="20"/>
                <w:lang w:val="es-ES_tradnl" w:eastAsia="es-DO"/>
              </w:rPr>
            </w:pPr>
            <w:r w:rsidRPr="00C80F8E">
              <w:rPr>
                <w:rFonts w:ascii="Abadi" w:eastAsia="Times New Roman" w:hAnsi="Abadi" w:cs="Calibri"/>
                <w:b/>
                <w:bCs/>
                <w:color w:val="FFFFFF"/>
                <w:sz w:val="20"/>
                <w:szCs w:val="20"/>
                <w:lang w:val="es-ES_tradnl" w:eastAsia="es-DO"/>
              </w:rPr>
              <w:t>Costos Adicionales por Remodelación</w:t>
            </w:r>
          </w:p>
        </w:tc>
        <w:tc>
          <w:tcPr>
            <w:tcW w:w="2410" w:type="dxa"/>
            <w:tcBorders>
              <w:top w:val="single" w:sz="8" w:space="0" w:color="auto"/>
              <w:left w:val="single" w:sz="4" w:space="0" w:color="auto"/>
              <w:bottom w:val="nil"/>
              <w:right w:val="single" w:sz="4" w:space="0" w:color="auto"/>
            </w:tcBorders>
            <w:shd w:val="clear" w:color="000000" w:fill="0070C0"/>
            <w:vAlign w:val="center"/>
          </w:tcPr>
          <w:p w14:paraId="0894177F" w14:textId="77777777" w:rsidR="00E85F0D" w:rsidRPr="00C80F8E" w:rsidRDefault="00E85F0D" w:rsidP="00217427">
            <w:pPr>
              <w:spacing w:after="0" w:line="240" w:lineRule="auto"/>
              <w:jc w:val="right"/>
              <w:rPr>
                <w:rFonts w:ascii="Abadi" w:eastAsia="Times New Roman" w:hAnsi="Abadi" w:cs="Calibri"/>
                <w:b/>
                <w:bCs/>
                <w:color w:val="FFFFFF"/>
                <w:sz w:val="20"/>
                <w:szCs w:val="20"/>
                <w:lang w:val="es-ES_tradnl" w:eastAsia="es-DO"/>
              </w:rPr>
            </w:pPr>
          </w:p>
        </w:tc>
      </w:tr>
      <w:tr w:rsidR="00E85F0D" w:rsidRPr="00C80F8E" w14:paraId="7751EA28" w14:textId="77777777" w:rsidTr="00E85F0D">
        <w:trPr>
          <w:trHeight w:val="300"/>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207F0932"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 xml:space="preserve">Constructora Pablo </w:t>
            </w:r>
            <w:proofErr w:type="spellStart"/>
            <w:r w:rsidRPr="00C80F8E">
              <w:rPr>
                <w:rFonts w:ascii="Abadi" w:eastAsia="Times New Roman" w:hAnsi="Abadi" w:cs="Calibri"/>
                <w:sz w:val="20"/>
                <w:szCs w:val="20"/>
                <w:lang w:val="es-ES_tradnl" w:eastAsia="es-DO"/>
              </w:rPr>
              <w:t>Yarul</w:t>
            </w:r>
            <w:proofErr w:type="spellEnd"/>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4490852D"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56,242,192.35 </w:t>
            </w:r>
          </w:p>
        </w:tc>
      </w:tr>
      <w:tr w:rsidR="00E85F0D" w:rsidRPr="00C80F8E" w14:paraId="46673C0B" w14:textId="77777777" w:rsidTr="00E85F0D">
        <w:trPr>
          <w:trHeight w:val="300"/>
        </w:trPr>
        <w:tc>
          <w:tcPr>
            <w:tcW w:w="3397" w:type="dxa"/>
            <w:tcBorders>
              <w:top w:val="nil"/>
              <w:left w:val="single" w:sz="4" w:space="0" w:color="auto"/>
              <w:bottom w:val="single" w:sz="4" w:space="0" w:color="auto"/>
              <w:right w:val="single" w:sz="4" w:space="0" w:color="auto"/>
            </w:tcBorders>
            <w:noWrap/>
            <w:vAlign w:val="bottom"/>
            <w:hideMark/>
          </w:tcPr>
          <w:p w14:paraId="1C91066E"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Imagen Urbana</w:t>
            </w:r>
          </w:p>
        </w:tc>
        <w:tc>
          <w:tcPr>
            <w:tcW w:w="2410" w:type="dxa"/>
            <w:tcBorders>
              <w:top w:val="nil"/>
              <w:left w:val="single" w:sz="4" w:space="0" w:color="auto"/>
              <w:bottom w:val="single" w:sz="4" w:space="0" w:color="auto"/>
              <w:right w:val="single" w:sz="4" w:space="0" w:color="auto"/>
            </w:tcBorders>
            <w:noWrap/>
            <w:vAlign w:val="center"/>
            <w:hideMark/>
          </w:tcPr>
          <w:p w14:paraId="02B07438"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2,587,000.00 </w:t>
            </w:r>
          </w:p>
        </w:tc>
      </w:tr>
      <w:tr w:rsidR="00E85F0D" w:rsidRPr="00C80F8E" w14:paraId="105ADF9D" w14:textId="77777777" w:rsidTr="00E85F0D">
        <w:trPr>
          <w:trHeight w:val="300"/>
        </w:trPr>
        <w:tc>
          <w:tcPr>
            <w:tcW w:w="3397" w:type="dxa"/>
            <w:tcBorders>
              <w:top w:val="nil"/>
              <w:left w:val="single" w:sz="4" w:space="0" w:color="auto"/>
              <w:bottom w:val="single" w:sz="4" w:space="0" w:color="auto"/>
              <w:right w:val="single" w:sz="4" w:space="0" w:color="auto"/>
            </w:tcBorders>
            <w:noWrap/>
            <w:vAlign w:val="bottom"/>
            <w:hideMark/>
          </w:tcPr>
          <w:p w14:paraId="01775894" w14:textId="77777777" w:rsidR="00E85F0D" w:rsidRPr="00C80F8E" w:rsidRDefault="00E85F0D" w:rsidP="00E85F0D">
            <w:pPr>
              <w:spacing w:after="0" w:line="240" w:lineRule="auto"/>
              <w:rPr>
                <w:rFonts w:ascii="Abadi" w:eastAsia="Times New Roman" w:hAnsi="Abadi" w:cs="Calibri"/>
                <w:sz w:val="20"/>
                <w:szCs w:val="20"/>
                <w:lang w:val="es-ES_tradnl" w:eastAsia="es-DO"/>
              </w:rPr>
            </w:pPr>
            <w:proofErr w:type="spellStart"/>
            <w:r w:rsidRPr="00C80F8E">
              <w:rPr>
                <w:rFonts w:ascii="Abadi" w:eastAsia="Times New Roman" w:hAnsi="Abadi" w:cs="Calibri"/>
                <w:sz w:val="20"/>
                <w:szCs w:val="20"/>
                <w:lang w:val="es-ES_tradnl" w:eastAsia="es-DO"/>
              </w:rPr>
              <w:t>Tecnas</w:t>
            </w:r>
            <w:proofErr w:type="spellEnd"/>
            <w:r w:rsidRPr="00C80F8E">
              <w:rPr>
                <w:rFonts w:ascii="Abadi" w:eastAsia="Times New Roman" w:hAnsi="Abadi" w:cs="Calibri"/>
                <w:sz w:val="20"/>
                <w:szCs w:val="20"/>
                <w:lang w:val="es-ES_tradnl" w:eastAsia="es-DO"/>
              </w:rPr>
              <w:t>, EIRL</w:t>
            </w:r>
          </w:p>
        </w:tc>
        <w:tc>
          <w:tcPr>
            <w:tcW w:w="2410" w:type="dxa"/>
            <w:tcBorders>
              <w:top w:val="nil"/>
              <w:left w:val="single" w:sz="4" w:space="0" w:color="auto"/>
              <w:bottom w:val="single" w:sz="4" w:space="0" w:color="auto"/>
              <w:right w:val="single" w:sz="4" w:space="0" w:color="auto"/>
            </w:tcBorders>
            <w:noWrap/>
            <w:vAlign w:val="center"/>
            <w:hideMark/>
          </w:tcPr>
          <w:p w14:paraId="5A8DE36E"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284,461.10 </w:t>
            </w:r>
          </w:p>
        </w:tc>
      </w:tr>
      <w:tr w:rsidR="00E85F0D" w:rsidRPr="00C80F8E" w14:paraId="24D24FC6" w14:textId="77777777" w:rsidTr="00E85F0D">
        <w:trPr>
          <w:trHeight w:val="300"/>
        </w:trPr>
        <w:tc>
          <w:tcPr>
            <w:tcW w:w="3397" w:type="dxa"/>
            <w:tcBorders>
              <w:top w:val="nil"/>
              <w:left w:val="single" w:sz="4" w:space="0" w:color="auto"/>
              <w:bottom w:val="single" w:sz="4" w:space="0" w:color="auto"/>
              <w:right w:val="single" w:sz="4" w:space="0" w:color="auto"/>
            </w:tcBorders>
            <w:noWrap/>
            <w:vAlign w:val="bottom"/>
            <w:hideMark/>
          </w:tcPr>
          <w:p w14:paraId="09413127"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Gastos Varios</w:t>
            </w:r>
          </w:p>
        </w:tc>
        <w:tc>
          <w:tcPr>
            <w:tcW w:w="2410" w:type="dxa"/>
            <w:tcBorders>
              <w:top w:val="nil"/>
              <w:left w:val="single" w:sz="4" w:space="0" w:color="auto"/>
              <w:bottom w:val="single" w:sz="4" w:space="0" w:color="auto"/>
              <w:right w:val="single" w:sz="4" w:space="0" w:color="auto"/>
            </w:tcBorders>
            <w:noWrap/>
            <w:vAlign w:val="center"/>
            <w:hideMark/>
          </w:tcPr>
          <w:p w14:paraId="2507519A"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638,889.87 </w:t>
            </w:r>
          </w:p>
        </w:tc>
      </w:tr>
      <w:tr w:rsidR="00E85F0D" w:rsidRPr="00C80F8E" w14:paraId="400EFBB8" w14:textId="77777777" w:rsidTr="00E85F0D">
        <w:trPr>
          <w:trHeight w:val="300"/>
        </w:trPr>
        <w:tc>
          <w:tcPr>
            <w:tcW w:w="3397" w:type="dxa"/>
            <w:tcBorders>
              <w:top w:val="nil"/>
              <w:left w:val="single" w:sz="4" w:space="0" w:color="auto"/>
              <w:bottom w:val="single" w:sz="4" w:space="0" w:color="auto"/>
              <w:right w:val="single" w:sz="4" w:space="0" w:color="auto"/>
            </w:tcBorders>
            <w:noWrap/>
            <w:vAlign w:val="bottom"/>
            <w:hideMark/>
          </w:tcPr>
          <w:p w14:paraId="334B15B4"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RM Ingenieros y Consultores</w:t>
            </w:r>
          </w:p>
        </w:tc>
        <w:tc>
          <w:tcPr>
            <w:tcW w:w="2410" w:type="dxa"/>
            <w:tcBorders>
              <w:top w:val="nil"/>
              <w:left w:val="single" w:sz="4" w:space="0" w:color="auto"/>
              <w:bottom w:val="single" w:sz="4" w:space="0" w:color="auto"/>
              <w:right w:val="single" w:sz="4" w:space="0" w:color="auto"/>
            </w:tcBorders>
            <w:noWrap/>
            <w:vAlign w:val="center"/>
            <w:hideMark/>
          </w:tcPr>
          <w:p w14:paraId="628C6BC3"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5,070,720.29 </w:t>
            </w:r>
          </w:p>
        </w:tc>
      </w:tr>
      <w:tr w:rsidR="00E85F0D" w:rsidRPr="00C80F8E" w14:paraId="57A3DF2B" w14:textId="77777777" w:rsidTr="00E85F0D">
        <w:trPr>
          <w:trHeight w:val="300"/>
        </w:trPr>
        <w:tc>
          <w:tcPr>
            <w:tcW w:w="3397" w:type="dxa"/>
            <w:tcBorders>
              <w:top w:val="nil"/>
              <w:left w:val="single" w:sz="4" w:space="0" w:color="auto"/>
              <w:bottom w:val="single" w:sz="4" w:space="0" w:color="auto"/>
              <w:right w:val="single" w:sz="4" w:space="0" w:color="auto"/>
            </w:tcBorders>
            <w:noWrap/>
            <w:vAlign w:val="bottom"/>
            <w:hideMark/>
          </w:tcPr>
          <w:p w14:paraId="19DBA08E"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Estructura Metálica Fachada posterior</w:t>
            </w:r>
          </w:p>
        </w:tc>
        <w:tc>
          <w:tcPr>
            <w:tcW w:w="2410" w:type="dxa"/>
            <w:tcBorders>
              <w:top w:val="nil"/>
              <w:left w:val="single" w:sz="4" w:space="0" w:color="auto"/>
              <w:bottom w:val="single" w:sz="4" w:space="0" w:color="auto"/>
              <w:right w:val="single" w:sz="4" w:space="0" w:color="auto"/>
            </w:tcBorders>
            <w:noWrap/>
            <w:vAlign w:val="center"/>
            <w:hideMark/>
          </w:tcPr>
          <w:p w14:paraId="19AB31D8"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366,375.20 </w:t>
            </w:r>
          </w:p>
        </w:tc>
      </w:tr>
      <w:tr w:rsidR="00E85F0D" w:rsidRPr="00C80F8E" w14:paraId="35E896F0" w14:textId="77777777" w:rsidTr="00E85F0D">
        <w:trPr>
          <w:trHeight w:val="300"/>
        </w:trPr>
        <w:tc>
          <w:tcPr>
            <w:tcW w:w="3397" w:type="dxa"/>
            <w:tcBorders>
              <w:top w:val="nil"/>
              <w:left w:val="single" w:sz="4" w:space="0" w:color="auto"/>
              <w:bottom w:val="single" w:sz="4" w:space="0" w:color="auto"/>
              <w:right w:val="single" w:sz="4" w:space="0" w:color="auto"/>
            </w:tcBorders>
            <w:noWrap/>
            <w:vAlign w:val="bottom"/>
            <w:hideMark/>
          </w:tcPr>
          <w:p w14:paraId="44B55B33" w14:textId="77777777" w:rsidR="00E85F0D" w:rsidRPr="00C80F8E" w:rsidRDefault="00E85F0D" w:rsidP="00E85F0D">
            <w:pPr>
              <w:spacing w:after="0" w:line="240" w:lineRule="auto"/>
              <w:rPr>
                <w:rFonts w:ascii="Abadi" w:eastAsia="Times New Roman" w:hAnsi="Abadi" w:cs="Calibri"/>
                <w:sz w:val="20"/>
                <w:szCs w:val="20"/>
                <w:lang w:val="es-ES_tradnl" w:eastAsia="es-DO"/>
              </w:rPr>
            </w:pPr>
            <w:r w:rsidRPr="00C80F8E">
              <w:rPr>
                <w:rFonts w:ascii="Abadi" w:eastAsia="Times New Roman" w:hAnsi="Abadi" w:cs="Calibri"/>
                <w:sz w:val="20"/>
                <w:szCs w:val="20"/>
                <w:lang w:val="es-ES_tradnl" w:eastAsia="es-DO"/>
              </w:rPr>
              <w:t>Pérgola</w:t>
            </w:r>
          </w:p>
        </w:tc>
        <w:tc>
          <w:tcPr>
            <w:tcW w:w="2410" w:type="dxa"/>
            <w:tcBorders>
              <w:top w:val="nil"/>
              <w:left w:val="single" w:sz="4" w:space="0" w:color="auto"/>
              <w:bottom w:val="single" w:sz="4" w:space="0" w:color="auto"/>
              <w:right w:val="single" w:sz="4" w:space="0" w:color="auto"/>
            </w:tcBorders>
            <w:noWrap/>
            <w:vAlign w:val="center"/>
            <w:hideMark/>
          </w:tcPr>
          <w:p w14:paraId="7C78808D" w14:textId="77777777" w:rsidR="00E85F0D" w:rsidRPr="00C80F8E" w:rsidRDefault="00E85F0D" w:rsidP="00217427">
            <w:pPr>
              <w:spacing w:after="0" w:line="240" w:lineRule="auto"/>
              <w:jc w:val="right"/>
              <w:rPr>
                <w:rFonts w:ascii="Abadi" w:eastAsia="Times New Roman" w:hAnsi="Abadi" w:cs="Calibri"/>
                <w:color w:val="000000"/>
                <w:sz w:val="20"/>
                <w:szCs w:val="20"/>
                <w:lang w:val="es-ES_tradnl" w:eastAsia="es-DO"/>
              </w:rPr>
            </w:pPr>
            <w:r w:rsidRPr="00C80F8E">
              <w:rPr>
                <w:rFonts w:ascii="Abadi" w:eastAsia="Times New Roman" w:hAnsi="Abadi" w:cs="Calibri"/>
                <w:color w:val="000000"/>
                <w:sz w:val="20"/>
                <w:szCs w:val="20"/>
                <w:lang w:val="es-ES_tradnl" w:eastAsia="es-DO"/>
              </w:rPr>
              <w:t xml:space="preserve">           797,722.09 </w:t>
            </w:r>
          </w:p>
        </w:tc>
      </w:tr>
      <w:tr w:rsidR="00E85F0D" w:rsidRPr="00C80F8E" w14:paraId="6B37183B" w14:textId="77777777" w:rsidTr="00E85F0D">
        <w:trPr>
          <w:trHeight w:val="315"/>
        </w:trPr>
        <w:tc>
          <w:tcPr>
            <w:tcW w:w="3397" w:type="dxa"/>
            <w:tcBorders>
              <w:top w:val="nil"/>
              <w:left w:val="single" w:sz="4" w:space="0" w:color="auto"/>
              <w:bottom w:val="single" w:sz="8" w:space="0" w:color="auto"/>
              <w:right w:val="single" w:sz="4" w:space="0" w:color="auto"/>
            </w:tcBorders>
            <w:shd w:val="clear" w:color="000000" w:fill="FFFFFF"/>
            <w:noWrap/>
            <w:vAlign w:val="bottom"/>
            <w:hideMark/>
          </w:tcPr>
          <w:p w14:paraId="36F33673" w14:textId="1B7F4750" w:rsidR="00E85F0D" w:rsidRPr="00C80F8E" w:rsidRDefault="00E85F0D" w:rsidP="00E85F0D">
            <w:pPr>
              <w:spacing w:after="0" w:line="240" w:lineRule="auto"/>
              <w:jc w:val="center"/>
              <w:rPr>
                <w:rFonts w:ascii="Abadi" w:eastAsia="Times New Roman" w:hAnsi="Abadi" w:cs="Calibri"/>
                <w:b/>
                <w:bCs/>
                <w:color w:val="000000"/>
                <w:sz w:val="20"/>
                <w:szCs w:val="20"/>
                <w:lang w:val="es-ES_tradnl" w:eastAsia="es-DO"/>
              </w:rPr>
            </w:pPr>
            <w:r w:rsidRPr="00C80F8E">
              <w:rPr>
                <w:rFonts w:ascii="Abadi" w:eastAsia="Times New Roman" w:hAnsi="Abadi" w:cs="Calibri"/>
                <w:b/>
                <w:bCs/>
                <w:color w:val="000000"/>
                <w:sz w:val="20"/>
                <w:szCs w:val="20"/>
                <w:lang w:val="es-ES_tradnl" w:eastAsia="es-DO"/>
              </w:rPr>
              <w:t xml:space="preserve"> </w:t>
            </w:r>
            <w:r w:rsidR="001C7AC5" w:rsidRPr="00C80F8E">
              <w:rPr>
                <w:rFonts w:ascii="Abadi" w:eastAsia="Times New Roman" w:hAnsi="Abadi" w:cs="Calibri"/>
                <w:b/>
                <w:bCs/>
                <w:color w:val="000000"/>
                <w:sz w:val="20"/>
                <w:szCs w:val="20"/>
                <w:lang w:val="es-ES_tradnl" w:eastAsia="es-DO"/>
              </w:rPr>
              <w:t>Subtotal</w:t>
            </w:r>
            <w:r w:rsidRPr="00C80F8E">
              <w:rPr>
                <w:rFonts w:ascii="Abadi" w:eastAsia="Times New Roman" w:hAnsi="Abadi" w:cs="Calibri"/>
                <w:b/>
                <w:bCs/>
                <w:color w:val="000000"/>
                <w:sz w:val="20"/>
                <w:szCs w:val="20"/>
                <w:lang w:val="es-ES_tradnl" w:eastAsia="es-DO"/>
              </w:rPr>
              <w:t xml:space="preserve"> </w:t>
            </w:r>
          </w:p>
        </w:tc>
        <w:tc>
          <w:tcPr>
            <w:tcW w:w="2410" w:type="dxa"/>
            <w:tcBorders>
              <w:top w:val="nil"/>
              <w:left w:val="single" w:sz="4" w:space="0" w:color="auto"/>
              <w:bottom w:val="single" w:sz="8" w:space="0" w:color="auto"/>
              <w:right w:val="single" w:sz="4" w:space="0" w:color="auto"/>
            </w:tcBorders>
            <w:shd w:val="clear" w:color="000000" w:fill="FFFFFF"/>
            <w:noWrap/>
            <w:vAlign w:val="bottom"/>
            <w:hideMark/>
          </w:tcPr>
          <w:p w14:paraId="2B7CBBA3" w14:textId="77777777" w:rsidR="00E85F0D" w:rsidRPr="00C80F8E" w:rsidRDefault="00E85F0D" w:rsidP="00217427">
            <w:pPr>
              <w:spacing w:after="0" w:line="240" w:lineRule="auto"/>
              <w:jc w:val="right"/>
              <w:rPr>
                <w:rFonts w:ascii="Abadi" w:eastAsia="Times New Roman" w:hAnsi="Abadi" w:cs="Calibri"/>
                <w:b/>
                <w:bCs/>
                <w:color w:val="000000"/>
                <w:sz w:val="20"/>
                <w:szCs w:val="20"/>
                <w:lang w:val="es-ES_tradnl" w:eastAsia="es-DO"/>
              </w:rPr>
            </w:pPr>
            <w:r w:rsidRPr="00C80F8E">
              <w:rPr>
                <w:rFonts w:ascii="Abadi" w:eastAsia="Times New Roman" w:hAnsi="Abadi" w:cs="Calibri"/>
                <w:b/>
                <w:bCs/>
                <w:color w:val="000000"/>
                <w:sz w:val="20"/>
                <w:szCs w:val="20"/>
                <w:lang w:val="es-ES_tradnl" w:eastAsia="es-DO"/>
              </w:rPr>
              <w:t xml:space="preserve">  65,987,360.90 </w:t>
            </w:r>
          </w:p>
        </w:tc>
      </w:tr>
      <w:tr w:rsidR="00E85F0D" w:rsidRPr="00C80F8E" w14:paraId="2561892D" w14:textId="77777777" w:rsidTr="00E85F0D">
        <w:trPr>
          <w:trHeight w:val="315"/>
        </w:trPr>
        <w:tc>
          <w:tcPr>
            <w:tcW w:w="3397"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3BA97C3B" w14:textId="4A506110" w:rsidR="00E85F0D" w:rsidRPr="00C80F8E" w:rsidRDefault="00E85F0D" w:rsidP="00E85F0D">
            <w:pPr>
              <w:spacing w:after="0" w:line="240" w:lineRule="auto"/>
              <w:jc w:val="center"/>
              <w:rPr>
                <w:rFonts w:ascii="Abadi" w:eastAsia="Times New Roman" w:hAnsi="Abadi" w:cs="Calibri"/>
                <w:b/>
                <w:bCs/>
                <w:color w:val="000000"/>
                <w:sz w:val="20"/>
                <w:szCs w:val="20"/>
                <w:lang w:val="es-ES_tradnl" w:eastAsia="es-DO"/>
              </w:rPr>
            </w:pPr>
            <w:r w:rsidRPr="00C80F8E">
              <w:rPr>
                <w:rFonts w:ascii="Abadi" w:eastAsia="Times New Roman" w:hAnsi="Abadi" w:cs="Calibri"/>
                <w:b/>
                <w:bCs/>
                <w:color w:val="000000"/>
                <w:sz w:val="20"/>
                <w:szCs w:val="20"/>
                <w:lang w:val="es-ES_tradnl" w:eastAsia="es-DO"/>
              </w:rPr>
              <w:t xml:space="preserve"> </w:t>
            </w:r>
            <w:proofErr w:type="gramStart"/>
            <w:r w:rsidR="001C7AC5" w:rsidRPr="00C80F8E">
              <w:rPr>
                <w:rFonts w:ascii="Abadi" w:eastAsia="Times New Roman" w:hAnsi="Abadi" w:cs="Calibri"/>
                <w:b/>
                <w:bCs/>
                <w:color w:val="000000"/>
                <w:sz w:val="20"/>
                <w:szCs w:val="20"/>
                <w:lang w:val="es-ES_tradnl" w:eastAsia="es-DO"/>
              </w:rPr>
              <w:t>Total</w:t>
            </w:r>
            <w:proofErr w:type="gramEnd"/>
            <w:r w:rsidR="002C3099" w:rsidRPr="00C80F8E">
              <w:rPr>
                <w:rFonts w:ascii="Abadi" w:eastAsia="Times New Roman" w:hAnsi="Abadi" w:cs="Calibri"/>
                <w:b/>
                <w:bCs/>
                <w:color w:val="000000"/>
                <w:sz w:val="20"/>
                <w:szCs w:val="20"/>
                <w:lang w:val="es-ES_tradnl" w:eastAsia="es-DO"/>
              </w:rPr>
              <w:t xml:space="preserve"> </w:t>
            </w:r>
            <w:r w:rsidRPr="00C80F8E">
              <w:rPr>
                <w:rFonts w:ascii="Abadi" w:eastAsia="Times New Roman" w:hAnsi="Abadi" w:cs="Calibri"/>
                <w:b/>
                <w:bCs/>
                <w:color w:val="000000"/>
                <w:sz w:val="20"/>
                <w:szCs w:val="20"/>
                <w:lang w:val="es-ES_tradnl" w:eastAsia="es-DO"/>
              </w:rPr>
              <w:t xml:space="preserve">General </w:t>
            </w:r>
          </w:p>
        </w:tc>
        <w:tc>
          <w:tcPr>
            <w:tcW w:w="241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700FB361" w14:textId="77777777" w:rsidR="00E85F0D" w:rsidRPr="00C80F8E" w:rsidRDefault="00E85F0D" w:rsidP="00217427">
            <w:pPr>
              <w:spacing w:after="0" w:line="240" w:lineRule="auto"/>
              <w:jc w:val="right"/>
              <w:rPr>
                <w:rFonts w:ascii="Abadi" w:eastAsia="Times New Roman" w:hAnsi="Abadi" w:cs="Calibri"/>
                <w:b/>
                <w:bCs/>
                <w:color w:val="000000"/>
                <w:sz w:val="20"/>
                <w:szCs w:val="20"/>
                <w:lang w:val="es-ES_tradnl" w:eastAsia="es-DO"/>
              </w:rPr>
            </w:pPr>
            <w:r w:rsidRPr="00C80F8E">
              <w:rPr>
                <w:rFonts w:ascii="Abadi" w:eastAsia="Times New Roman" w:hAnsi="Abadi" w:cs="Calibri"/>
                <w:b/>
                <w:bCs/>
                <w:color w:val="000000"/>
                <w:sz w:val="20"/>
                <w:szCs w:val="20"/>
                <w:lang w:val="es-ES_tradnl" w:eastAsia="es-DO"/>
              </w:rPr>
              <w:t xml:space="preserve">  87,017,827.49 </w:t>
            </w:r>
          </w:p>
        </w:tc>
      </w:tr>
    </w:tbl>
    <w:p w14:paraId="2DFBE838" w14:textId="029F6486" w:rsidR="008D4971" w:rsidRPr="00C80F8E" w:rsidRDefault="008D4971" w:rsidP="008D4971">
      <w:pPr>
        <w:spacing w:line="360" w:lineRule="auto"/>
        <w:jc w:val="both"/>
        <w:rPr>
          <w:rFonts w:ascii="Abadi" w:hAnsi="Abadi" w:cstheme="minorHAnsi"/>
          <w:bCs/>
          <w:iCs/>
          <w:sz w:val="20"/>
          <w:szCs w:val="20"/>
          <w:lang w:val="es-ES_tradnl" w:eastAsia="es-ES"/>
        </w:rPr>
      </w:pPr>
    </w:p>
    <w:p w14:paraId="340880A4" w14:textId="63F479C0" w:rsidR="008D4971" w:rsidRPr="00C80F8E" w:rsidRDefault="00E55F33" w:rsidP="008D4971">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1</w:t>
      </w:r>
      <w:r w:rsidR="001B6097" w:rsidRPr="00C80F8E">
        <w:rPr>
          <w:rFonts w:ascii="Abadi" w:hAnsi="Abadi" w:cstheme="minorHAnsi"/>
          <w:b/>
          <w:iCs/>
          <w:sz w:val="20"/>
          <w:szCs w:val="20"/>
          <w:lang w:val="es-ES_tradnl"/>
        </w:rPr>
        <w:t>2</w:t>
      </w:r>
      <w:r w:rsidRPr="00C80F8E">
        <w:rPr>
          <w:rFonts w:ascii="Abadi" w:hAnsi="Abadi" w:cstheme="minorHAnsi"/>
          <w:b/>
          <w:iCs/>
          <w:sz w:val="20"/>
          <w:szCs w:val="20"/>
          <w:lang w:val="es-ES_tradnl"/>
        </w:rPr>
        <w:t xml:space="preserve">.3 </w:t>
      </w:r>
      <w:r w:rsidR="008D4971" w:rsidRPr="00C80F8E">
        <w:rPr>
          <w:rFonts w:ascii="Abadi" w:hAnsi="Abadi" w:cstheme="minorHAnsi"/>
          <w:b/>
          <w:iCs/>
          <w:sz w:val="20"/>
          <w:szCs w:val="20"/>
          <w:lang w:val="es-ES_tradnl"/>
        </w:rPr>
        <w:t>Equipos de Transporte y Otros Equipos de Transporte</w:t>
      </w:r>
    </w:p>
    <w:p w14:paraId="4C540ADF" w14:textId="0B8255CC" w:rsidR="007E35DB" w:rsidRPr="00C80F8E" w:rsidRDefault="007E35DB" w:rsidP="007E35DB">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Al 30 de junio de 2025, el valor neto en libros de los equipos de transporte y otros ascendió a RD$</w:t>
      </w:r>
      <w:r w:rsidR="0039724A">
        <w:rPr>
          <w:rFonts w:ascii="Abadi" w:hAnsi="Abadi" w:cstheme="minorHAnsi"/>
          <w:bCs/>
          <w:iCs/>
          <w:sz w:val="20"/>
          <w:szCs w:val="20"/>
          <w:lang w:val="es-ES_tradnl"/>
        </w:rPr>
        <w:t>132,969.20</w:t>
      </w:r>
      <w:r w:rsidRPr="00C80F8E">
        <w:rPr>
          <w:rFonts w:ascii="Abadi" w:hAnsi="Abadi" w:cstheme="minorHAnsi"/>
          <w:bCs/>
          <w:iCs/>
          <w:sz w:val="20"/>
          <w:szCs w:val="20"/>
          <w:lang w:val="es-ES_tradnl"/>
        </w:rPr>
        <w:t>, en comparación con RD$523,417.77 registrados al 30 de junio de 2024. Esta variación representa una disminución absoluta de RD$</w:t>
      </w:r>
      <w:r w:rsidR="00391164">
        <w:rPr>
          <w:rFonts w:ascii="Abadi" w:hAnsi="Abadi" w:cstheme="minorHAnsi"/>
          <w:bCs/>
          <w:iCs/>
          <w:sz w:val="20"/>
          <w:szCs w:val="20"/>
          <w:lang w:val="es-ES_tradnl"/>
        </w:rPr>
        <w:t>390,448.57</w:t>
      </w:r>
      <w:r w:rsidRPr="00C80F8E">
        <w:rPr>
          <w:rFonts w:ascii="Abadi" w:hAnsi="Abadi" w:cstheme="minorHAnsi"/>
          <w:bCs/>
          <w:iCs/>
          <w:sz w:val="20"/>
          <w:szCs w:val="20"/>
          <w:lang w:val="es-ES_tradnl"/>
        </w:rPr>
        <w:t xml:space="preserve"> y una variación relativa negativa de </w:t>
      </w:r>
      <w:r w:rsidR="00B20885">
        <w:rPr>
          <w:rFonts w:ascii="Abadi" w:hAnsi="Abadi" w:cstheme="minorHAnsi"/>
          <w:bCs/>
          <w:iCs/>
          <w:sz w:val="20"/>
          <w:szCs w:val="20"/>
          <w:lang w:val="es-ES_tradnl"/>
        </w:rPr>
        <w:t>74.59</w:t>
      </w:r>
      <w:r w:rsidRPr="00C80F8E">
        <w:rPr>
          <w:rFonts w:ascii="Abadi" w:hAnsi="Abadi" w:cstheme="minorHAnsi"/>
          <w:bCs/>
          <w:iCs/>
          <w:sz w:val="20"/>
          <w:szCs w:val="20"/>
          <w:lang w:val="es-ES_tradnl"/>
        </w:rPr>
        <w:t>%.</w:t>
      </w:r>
    </w:p>
    <w:p w14:paraId="61ADBE6B" w14:textId="77777777" w:rsidR="001F5928" w:rsidRDefault="007E35DB" w:rsidP="008D4971">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lastRenderedPageBreak/>
        <w:t xml:space="preserve">El valor bruto del activo se incrementó ligeramente, pasando de RD$4,729,224.12 en 2024 a RD$4,737,366.13 en 2025, producto del reconocimiento de un nuevo equipo de tracción por RD$8,142.00. </w:t>
      </w:r>
    </w:p>
    <w:p w14:paraId="0CDEACF9" w14:textId="77777777" w:rsidR="00694CDB" w:rsidRDefault="00694CDB" w:rsidP="00694CDB">
      <w:pPr>
        <w:spacing w:line="240" w:lineRule="auto"/>
        <w:contextualSpacing/>
        <w:jc w:val="both"/>
        <w:rPr>
          <w:rFonts w:ascii="Abadi" w:hAnsi="Abadi" w:cstheme="minorHAnsi"/>
          <w:bCs/>
          <w:iCs/>
          <w:sz w:val="20"/>
          <w:szCs w:val="20"/>
          <w:lang w:val="es-ES_tradnl"/>
        </w:rPr>
      </w:pPr>
    </w:p>
    <w:p w14:paraId="780B0E9F" w14:textId="1BB55DF4" w:rsidR="007E35DB" w:rsidRPr="00C80F8E" w:rsidRDefault="007E35DB" w:rsidP="008D4971">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Sin embargo, la depreciación acumulada aumentó de RD$4,205,806.35 a RD$4,604,396.</w:t>
      </w:r>
      <w:r w:rsidR="00B20885">
        <w:rPr>
          <w:rFonts w:ascii="Abadi" w:hAnsi="Abadi" w:cstheme="minorHAnsi"/>
          <w:bCs/>
          <w:iCs/>
          <w:sz w:val="20"/>
          <w:szCs w:val="20"/>
          <w:lang w:val="es-ES_tradnl"/>
        </w:rPr>
        <w:t>92</w:t>
      </w:r>
      <w:r w:rsidRPr="00C80F8E">
        <w:rPr>
          <w:rFonts w:ascii="Abadi" w:hAnsi="Abadi" w:cstheme="minorHAnsi"/>
          <w:bCs/>
          <w:iCs/>
          <w:sz w:val="20"/>
          <w:szCs w:val="20"/>
          <w:lang w:val="es-ES_tradnl"/>
        </w:rPr>
        <w:t>, afectando significativamente el valor neto de este grupo de activos, como resultado del desgaste por el uso y la aplicación del método de línea recta según la vida útil estimada.</w:t>
      </w:r>
    </w:p>
    <w:tbl>
      <w:tblPr>
        <w:tblStyle w:val="Tablaconcuadrcula"/>
        <w:tblW w:w="0" w:type="auto"/>
        <w:tblInd w:w="66" w:type="dxa"/>
        <w:tblLook w:val="04A0" w:firstRow="1" w:lastRow="0" w:firstColumn="1" w:lastColumn="0" w:noHBand="0" w:noVBand="1"/>
      </w:tblPr>
      <w:tblGrid>
        <w:gridCol w:w="4867"/>
        <w:gridCol w:w="2257"/>
        <w:gridCol w:w="2114"/>
      </w:tblGrid>
      <w:tr w:rsidR="005D43D7" w:rsidRPr="00C80F8E" w14:paraId="2324C683" w14:textId="77777777" w:rsidTr="00F07000">
        <w:trPr>
          <w:trHeight w:val="258"/>
        </w:trPr>
        <w:tc>
          <w:tcPr>
            <w:tcW w:w="4867" w:type="dxa"/>
            <w:shd w:val="clear" w:color="auto" w:fill="0070C0"/>
          </w:tcPr>
          <w:p w14:paraId="15B2FBC4" w14:textId="77777777" w:rsidR="005D43D7" w:rsidRPr="00C80F8E" w:rsidRDefault="005D43D7"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Equipos de Transporte y Otros</w:t>
            </w:r>
          </w:p>
        </w:tc>
        <w:tc>
          <w:tcPr>
            <w:tcW w:w="2257" w:type="dxa"/>
            <w:tcBorders>
              <w:bottom w:val="single" w:sz="4" w:space="0" w:color="auto"/>
            </w:tcBorders>
            <w:shd w:val="clear" w:color="auto" w:fill="0070C0"/>
          </w:tcPr>
          <w:p w14:paraId="0E714727" w14:textId="47EEDE02" w:rsidR="005D43D7" w:rsidRPr="00C80F8E" w:rsidRDefault="005D43D7"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1C7AC5" w:rsidRPr="00C80F8E">
              <w:rPr>
                <w:rFonts w:ascii="Abadi" w:hAnsi="Abadi" w:cstheme="minorHAnsi"/>
                <w:b/>
                <w:bCs/>
                <w:color w:val="FFFFFF" w:themeColor="background1"/>
                <w:sz w:val="20"/>
                <w:szCs w:val="20"/>
                <w:lang w:val="es-ES_tradnl"/>
              </w:rPr>
              <w:t>5</w:t>
            </w:r>
          </w:p>
        </w:tc>
        <w:tc>
          <w:tcPr>
            <w:tcW w:w="2114" w:type="dxa"/>
            <w:tcBorders>
              <w:bottom w:val="single" w:sz="4" w:space="0" w:color="auto"/>
            </w:tcBorders>
            <w:shd w:val="clear" w:color="auto" w:fill="0070C0"/>
          </w:tcPr>
          <w:p w14:paraId="2AC35872" w14:textId="409709B7" w:rsidR="005D43D7" w:rsidRPr="00C80F8E" w:rsidRDefault="001C7AC5"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r w:rsidR="003834D1" w:rsidRPr="00C80F8E">
              <w:rPr>
                <w:rFonts w:ascii="Abadi" w:hAnsi="Abadi" w:cstheme="minorHAnsi"/>
                <w:b/>
                <w:bCs/>
                <w:color w:val="FFFFFF" w:themeColor="background1"/>
                <w:sz w:val="20"/>
                <w:szCs w:val="20"/>
                <w:lang w:val="es-ES_tradnl"/>
              </w:rPr>
              <w:t xml:space="preserve"> </w:t>
            </w:r>
          </w:p>
        </w:tc>
      </w:tr>
      <w:tr w:rsidR="003573EF" w:rsidRPr="00C80F8E" w14:paraId="7A909D83" w14:textId="77777777" w:rsidTr="00DB69D9">
        <w:trPr>
          <w:trHeight w:val="274"/>
        </w:trPr>
        <w:tc>
          <w:tcPr>
            <w:tcW w:w="4867" w:type="dxa"/>
          </w:tcPr>
          <w:p w14:paraId="54E052CD" w14:textId="77777777" w:rsidR="003573EF" w:rsidRPr="00C80F8E" w:rsidRDefault="003573EF" w:rsidP="003573EF">
            <w:pPr>
              <w:jc w:val="both"/>
              <w:rPr>
                <w:rFonts w:ascii="Abadi" w:hAnsi="Abadi" w:cstheme="minorHAnsi"/>
                <w:sz w:val="20"/>
                <w:szCs w:val="20"/>
                <w:lang w:val="es-ES_tradnl"/>
              </w:rPr>
            </w:pPr>
            <w:r w:rsidRPr="00C80F8E">
              <w:rPr>
                <w:rFonts w:ascii="Abadi" w:hAnsi="Abadi" w:cstheme="minorHAnsi"/>
                <w:bCs/>
                <w:sz w:val="20"/>
                <w:szCs w:val="20"/>
                <w:lang w:val="es-ES_tradnl"/>
              </w:rPr>
              <w:t>Equipo de Transporte, Tracción y Elevación</w:t>
            </w:r>
          </w:p>
        </w:tc>
        <w:tc>
          <w:tcPr>
            <w:tcW w:w="2257" w:type="dxa"/>
            <w:tcBorders>
              <w:bottom w:val="single" w:sz="4" w:space="0" w:color="auto"/>
            </w:tcBorders>
          </w:tcPr>
          <w:p w14:paraId="3CD559B1" w14:textId="0E53BFB3" w:rsidR="005D1B66" w:rsidRPr="00C80F8E" w:rsidRDefault="005D1B66" w:rsidP="005D1B66">
            <w:pPr>
              <w:jc w:val="right"/>
              <w:rPr>
                <w:rFonts w:ascii="Abadi" w:hAnsi="Abadi" w:cstheme="minorHAnsi"/>
                <w:sz w:val="20"/>
                <w:szCs w:val="20"/>
                <w:lang w:val="es-ES_tradnl"/>
              </w:rPr>
            </w:pPr>
            <w:r w:rsidRPr="00C80F8E">
              <w:rPr>
                <w:rFonts w:ascii="Abadi" w:hAnsi="Abadi" w:cstheme="minorHAnsi"/>
                <w:sz w:val="20"/>
                <w:szCs w:val="20"/>
                <w:lang w:val="es-ES_tradnl"/>
              </w:rPr>
              <w:t>4</w:t>
            </w:r>
            <w:r w:rsidR="00DC304C" w:rsidRPr="00C80F8E">
              <w:rPr>
                <w:rFonts w:ascii="Abadi" w:hAnsi="Abadi" w:cstheme="minorHAnsi"/>
                <w:sz w:val="20"/>
                <w:szCs w:val="20"/>
                <w:lang w:val="es-ES_tradnl"/>
              </w:rPr>
              <w:t>,</w:t>
            </w:r>
            <w:r w:rsidRPr="00C80F8E">
              <w:rPr>
                <w:rFonts w:ascii="Abadi" w:hAnsi="Abadi" w:cstheme="minorHAnsi"/>
                <w:sz w:val="20"/>
                <w:szCs w:val="20"/>
                <w:lang w:val="es-ES_tradnl"/>
              </w:rPr>
              <w:t>462</w:t>
            </w:r>
            <w:r w:rsidR="00DC304C" w:rsidRPr="00C80F8E">
              <w:rPr>
                <w:rFonts w:ascii="Abadi" w:hAnsi="Abadi" w:cstheme="minorHAnsi"/>
                <w:sz w:val="20"/>
                <w:szCs w:val="20"/>
                <w:lang w:val="es-ES_tradnl"/>
              </w:rPr>
              <w:t>,</w:t>
            </w:r>
            <w:r w:rsidRPr="00C80F8E">
              <w:rPr>
                <w:rFonts w:ascii="Abadi" w:hAnsi="Abadi" w:cstheme="minorHAnsi"/>
                <w:sz w:val="20"/>
                <w:szCs w:val="20"/>
                <w:lang w:val="es-ES_tradnl"/>
              </w:rPr>
              <w:t>436.40</w:t>
            </w:r>
          </w:p>
        </w:tc>
        <w:tc>
          <w:tcPr>
            <w:tcW w:w="2114" w:type="dxa"/>
            <w:tcBorders>
              <w:bottom w:val="single" w:sz="4" w:space="0" w:color="auto"/>
            </w:tcBorders>
          </w:tcPr>
          <w:p w14:paraId="5FDE9F42" w14:textId="16DA6941" w:rsidR="003573EF" w:rsidRPr="00C80F8E" w:rsidRDefault="003573EF" w:rsidP="003573EF">
            <w:pPr>
              <w:jc w:val="right"/>
              <w:rPr>
                <w:rFonts w:ascii="Abadi" w:hAnsi="Abadi" w:cstheme="minorHAnsi"/>
                <w:sz w:val="20"/>
                <w:szCs w:val="20"/>
                <w:lang w:val="es-ES_tradnl"/>
              </w:rPr>
            </w:pPr>
            <w:r w:rsidRPr="00C80F8E">
              <w:rPr>
                <w:rFonts w:ascii="Abadi" w:hAnsi="Abadi" w:cstheme="minorHAnsi"/>
                <w:sz w:val="20"/>
                <w:szCs w:val="20"/>
                <w:lang w:val="es-ES_tradnl"/>
              </w:rPr>
              <w:t>4,462,436.40</w:t>
            </w:r>
          </w:p>
        </w:tc>
      </w:tr>
      <w:tr w:rsidR="003573EF" w:rsidRPr="00C80F8E" w14:paraId="47AA308B" w14:textId="77777777" w:rsidTr="00DB69D9">
        <w:trPr>
          <w:trHeight w:val="274"/>
        </w:trPr>
        <w:tc>
          <w:tcPr>
            <w:tcW w:w="4867" w:type="dxa"/>
          </w:tcPr>
          <w:p w14:paraId="18F79212" w14:textId="77777777" w:rsidR="003573EF" w:rsidRPr="00C80F8E" w:rsidRDefault="003573EF" w:rsidP="003573EF">
            <w:pPr>
              <w:jc w:val="both"/>
              <w:rPr>
                <w:rFonts w:ascii="Abadi" w:hAnsi="Abadi" w:cstheme="minorHAnsi"/>
                <w:bCs/>
                <w:sz w:val="20"/>
                <w:szCs w:val="20"/>
                <w:lang w:val="es-ES_tradnl"/>
              </w:rPr>
            </w:pPr>
            <w:r w:rsidRPr="00C80F8E">
              <w:rPr>
                <w:rFonts w:ascii="Abadi" w:hAnsi="Abadi" w:cstheme="minorHAnsi"/>
                <w:bCs/>
                <w:sz w:val="20"/>
                <w:szCs w:val="20"/>
                <w:lang w:val="es-ES_tradnl"/>
              </w:rPr>
              <w:t>Otros Equipos de Transporte</w:t>
            </w:r>
          </w:p>
        </w:tc>
        <w:tc>
          <w:tcPr>
            <w:tcW w:w="2257" w:type="dxa"/>
            <w:tcBorders>
              <w:bottom w:val="single" w:sz="4" w:space="0" w:color="auto"/>
            </w:tcBorders>
          </w:tcPr>
          <w:p w14:paraId="6CAB6A2B" w14:textId="3DEDF0EC" w:rsidR="003573EF" w:rsidRPr="00C80F8E" w:rsidRDefault="00DC304C" w:rsidP="003573EF">
            <w:pPr>
              <w:jc w:val="right"/>
              <w:rPr>
                <w:rFonts w:ascii="Abadi" w:hAnsi="Abadi" w:cstheme="minorHAnsi"/>
                <w:sz w:val="20"/>
                <w:szCs w:val="20"/>
                <w:lang w:val="es-ES_tradnl"/>
              </w:rPr>
            </w:pPr>
            <w:r w:rsidRPr="00C80F8E">
              <w:rPr>
                <w:rFonts w:ascii="Abadi" w:hAnsi="Abadi" w:cstheme="minorHAnsi"/>
                <w:sz w:val="20"/>
                <w:szCs w:val="20"/>
                <w:lang w:val="es-ES_tradnl"/>
              </w:rPr>
              <w:t>266,787.73</w:t>
            </w:r>
          </w:p>
        </w:tc>
        <w:tc>
          <w:tcPr>
            <w:tcW w:w="2114" w:type="dxa"/>
            <w:tcBorders>
              <w:bottom w:val="single" w:sz="4" w:space="0" w:color="auto"/>
            </w:tcBorders>
          </w:tcPr>
          <w:p w14:paraId="0714E537" w14:textId="5126A932" w:rsidR="003573EF" w:rsidRPr="00C80F8E" w:rsidRDefault="003573EF" w:rsidP="003573EF">
            <w:pPr>
              <w:jc w:val="right"/>
              <w:rPr>
                <w:rFonts w:ascii="Abadi" w:hAnsi="Abadi" w:cstheme="minorHAnsi"/>
                <w:sz w:val="20"/>
                <w:szCs w:val="20"/>
                <w:lang w:val="es-ES_tradnl"/>
              </w:rPr>
            </w:pPr>
            <w:r w:rsidRPr="00C80F8E">
              <w:rPr>
                <w:rFonts w:ascii="Abadi" w:hAnsi="Abadi" w:cstheme="minorHAnsi"/>
                <w:sz w:val="20"/>
                <w:szCs w:val="20"/>
                <w:lang w:val="es-ES_tradnl"/>
              </w:rPr>
              <w:t>266,787.72</w:t>
            </w:r>
          </w:p>
        </w:tc>
      </w:tr>
      <w:tr w:rsidR="006A60B6" w:rsidRPr="00C80F8E" w14:paraId="6F45C5FA" w14:textId="77777777" w:rsidTr="00462FEF">
        <w:trPr>
          <w:trHeight w:val="274"/>
        </w:trPr>
        <w:tc>
          <w:tcPr>
            <w:tcW w:w="4867" w:type="dxa"/>
          </w:tcPr>
          <w:p w14:paraId="32CA7B0C" w14:textId="31DE99BD" w:rsidR="006A60B6" w:rsidRPr="00C80F8E" w:rsidRDefault="006A60B6" w:rsidP="006A60B6">
            <w:pPr>
              <w:jc w:val="both"/>
              <w:rPr>
                <w:rFonts w:ascii="Abadi" w:hAnsi="Abadi" w:cstheme="minorHAnsi"/>
                <w:bCs/>
                <w:sz w:val="20"/>
                <w:szCs w:val="20"/>
                <w:lang w:val="es-ES_tradnl"/>
              </w:rPr>
            </w:pPr>
            <w:r w:rsidRPr="00C80F8E">
              <w:rPr>
                <w:rFonts w:ascii="Abadi" w:hAnsi="Abadi" w:cstheme="minorHAnsi"/>
                <w:bCs/>
                <w:sz w:val="20"/>
                <w:szCs w:val="20"/>
                <w:lang w:val="es-ES_tradnl"/>
              </w:rPr>
              <w:t>Equipo de Tracción</w:t>
            </w:r>
          </w:p>
        </w:tc>
        <w:tc>
          <w:tcPr>
            <w:tcW w:w="2257" w:type="dxa"/>
            <w:tcBorders>
              <w:bottom w:val="single" w:sz="4" w:space="0" w:color="auto"/>
            </w:tcBorders>
            <w:vAlign w:val="bottom"/>
          </w:tcPr>
          <w:p w14:paraId="1CDF483D" w14:textId="7649D41A" w:rsidR="006A60B6" w:rsidRPr="00C80F8E" w:rsidRDefault="006A60B6" w:rsidP="006A60B6">
            <w:pPr>
              <w:jc w:val="right"/>
              <w:rPr>
                <w:rFonts w:ascii="Abadi" w:hAnsi="Abadi" w:cstheme="minorHAnsi"/>
                <w:sz w:val="20"/>
                <w:szCs w:val="20"/>
                <w:lang w:val="es-ES_tradnl"/>
              </w:rPr>
            </w:pPr>
            <w:r w:rsidRPr="00C80F8E">
              <w:rPr>
                <w:rFonts w:ascii="Abadi" w:hAnsi="Abadi" w:cstheme="minorHAnsi"/>
                <w:sz w:val="20"/>
                <w:szCs w:val="20"/>
                <w:lang w:val="es-ES_tradnl"/>
              </w:rPr>
              <w:t>8</w:t>
            </w:r>
            <w:r w:rsidR="00643144" w:rsidRPr="00C80F8E">
              <w:rPr>
                <w:rFonts w:ascii="Abadi" w:hAnsi="Abadi" w:cstheme="minorHAnsi"/>
                <w:sz w:val="20"/>
                <w:szCs w:val="20"/>
                <w:lang w:val="es-ES_tradnl"/>
              </w:rPr>
              <w:t>,</w:t>
            </w:r>
            <w:r w:rsidRPr="00C80F8E">
              <w:rPr>
                <w:rFonts w:ascii="Abadi" w:hAnsi="Abadi" w:cstheme="minorHAnsi"/>
                <w:sz w:val="20"/>
                <w:szCs w:val="20"/>
                <w:lang w:val="es-ES_tradnl"/>
              </w:rPr>
              <w:t>142.00</w:t>
            </w:r>
          </w:p>
        </w:tc>
        <w:tc>
          <w:tcPr>
            <w:tcW w:w="2114" w:type="dxa"/>
            <w:tcBorders>
              <w:bottom w:val="single" w:sz="4" w:space="0" w:color="auto"/>
            </w:tcBorders>
          </w:tcPr>
          <w:p w14:paraId="3CE31913" w14:textId="1B744755" w:rsidR="006A60B6" w:rsidRPr="00C80F8E" w:rsidRDefault="00643144" w:rsidP="006A60B6">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6A60B6" w:rsidRPr="00C80F8E" w14:paraId="0898840A" w14:textId="77777777" w:rsidTr="00DB69D9">
        <w:trPr>
          <w:trHeight w:val="258"/>
        </w:trPr>
        <w:tc>
          <w:tcPr>
            <w:tcW w:w="4867" w:type="dxa"/>
            <w:tcBorders>
              <w:right w:val="single" w:sz="2" w:space="0" w:color="auto"/>
            </w:tcBorders>
          </w:tcPr>
          <w:p w14:paraId="72CAE9CE" w14:textId="54BF16CD" w:rsidR="006A60B6" w:rsidRPr="00C80F8E" w:rsidRDefault="006A60B6" w:rsidP="006A60B6">
            <w:p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Total </w:t>
            </w:r>
          </w:p>
        </w:tc>
        <w:tc>
          <w:tcPr>
            <w:tcW w:w="2257" w:type="dxa"/>
            <w:tcBorders>
              <w:top w:val="single" w:sz="12" w:space="0" w:color="auto"/>
              <w:left w:val="single" w:sz="2" w:space="0" w:color="auto"/>
              <w:bottom w:val="single" w:sz="2" w:space="0" w:color="auto"/>
              <w:right w:val="single" w:sz="2" w:space="0" w:color="auto"/>
            </w:tcBorders>
          </w:tcPr>
          <w:p w14:paraId="6D7872A7" w14:textId="1DED4717" w:rsidR="006A60B6" w:rsidRPr="00C80F8E" w:rsidRDefault="006A60B6" w:rsidP="006A60B6">
            <w:pPr>
              <w:jc w:val="right"/>
              <w:rPr>
                <w:rFonts w:ascii="Abadi" w:hAnsi="Abadi" w:cstheme="minorHAnsi"/>
                <w:b/>
                <w:bCs/>
                <w:sz w:val="20"/>
                <w:szCs w:val="20"/>
                <w:lang w:val="es-ES_tradnl"/>
              </w:rPr>
            </w:pPr>
            <w:r w:rsidRPr="00C80F8E">
              <w:rPr>
                <w:rFonts w:ascii="Abadi" w:hAnsi="Abadi" w:cstheme="minorHAnsi"/>
                <w:b/>
                <w:bCs/>
                <w:sz w:val="20"/>
                <w:szCs w:val="20"/>
                <w:lang w:val="es-ES_tradnl"/>
              </w:rPr>
              <w:t>4,</w:t>
            </w:r>
            <w:r w:rsidR="0035430D" w:rsidRPr="00C80F8E">
              <w:rPr>
                <w:rFonts w:ascii="Abadi" w:hAnsi="Abadi" w:cstheme="minorHAnsi"/>
                <w:b/>
                <w:bCs/>
                <w:sz w:val="20"/>
                <w:szCs w:val="20"/>
                <w:lang w:val="es-ES_tradnl"/>
              </w:rPr>
              <w:t>737</w:t>
            </w:r>
            <w:r w:rsidR="00A90529" w:rsidRPr="00C80F8E">
              <w:rPr>
                <w:rFonts w:ascii="Abadi" w:hAnsi="Abadi" w:cstheme="minorHAnsi"/>
                <w:b/>
                <w:bCs/>
                <w:sz w:val="20"/>
                <w:szCs w:val="20"/>
                <w:lang w:val="es-ES_tradnl"/>
              </w:rPr>
              <w:t>,</w:t>
            </w:r>
            <w:r w:rsidR="0035430D" w:rsidRPr="00C80F8E">
              <w:rPr>
                <w:rFonts w:ascii="Abadi" w:hAnsi="Abadi" w:cstheme="minorHAnsi"/>
                <w:b/>
                <w:bCs/>
                <w:sz w:val="20"/>
                <w:szCs w:val="20"/>
                <w:lang w:val="es-ES_tradnl"/>
              </w:rPr>
              <w:t>366.13</w:t>
            </w:r>
          </w:p>
        </w:tc>
        <w:tc>
          <w:tcPr>
            <w:tcW w:w="2114" w:type="dxa"/>
            <w:tcBorders>
              <w:top w:val="single" w:sz="12" w:space="0" w:color="auto"/>
              <w:left w:val="single" w:sz="2" w:space="0" w:color="auto"/>
              <w:bottom w:val="single" w:sz="4" w:space="0" w:color="auto"/>
            </w:tcBorders>
          </w:tcPr>
          <w:p w14:paraId="40D36362" w14:textId="092E2204" w:rsidR="006A60B6" w:rsidRPr="00C80F8E" w:rsidRDefault="006A60B6" w:rsidP="006A60B6">
            <w:pPr>
              <w:jc w:val="right"/>
              <w:rPr>
                <w:rFonts w:ascii="Abadi" w:hAnsi="Abadi" w:cstheme="minorHAnsi"/>
                <w:b/>
                <w:bCs/>
                <w:sz w:val="20"/>
                <w:szCs w:val="20"/>
                <w:lang w:val="es-ES_tradnl"/>
              </w:rPr>
            </w:pPr>
            <w:r w:rsidRPr="00C80F8E">
              <w:rPr>
                <w:rFonts w:ascii="Abadi" w:hAnsi="Abadi" w:cstheme="minorHAnsi"/>
                <w:b/>
                <w:bCs/>
                <w:sz w:val="20"/>
                <w:szCs w:val="20"/>
                <w:lang w:val="es-ES_tradnl"/>
              </w:rPr>
              <w:fldChar w:fldCharType="begin"/>
            </w:r>
            <w:r w:rsidRPr="00C80F8E">
              <w:rPr>
                <w:rFonts w:ascii="Abadi" w:hAnsi="Abadi" w:cstheme="minorHAnsi"/>
                <w:b/>
                <w:bCs/>
                <w:sz w:val="20"/>
                <w:szCs w:val="20"/>
                <w:lang w:val="es-ES_tradnl"/>
              </w:rPr>
              <w:instrText xml:space="preserve"> =SUM(ABOVE) \# "#,##0.00" </w:instrText>
            </w:r>
            <w:r w:rsidRPr="00C80F8E">
              <w:rPr>
                <w:rFonts w:ascii="Abadi" w:hAnsi="Abadi" w:cstheme="minorHAnsi"/>
                <w:b/>
                <w:bCs/>
                <w:sz w:val="20"/>
                <w:szCs w:val="20"/>
                <w:lang w:val="es-ES_tradnl"/>
              </w:rPr>
              <w:fldChar w:fldCharType="separate"/>
            </w:r>
            <w:r w:rsidRPr="00C80F8E">
              <w:rPr>
                <w:rFonts w:ascii="Abadi" w:hAnsi="Abadi" w:cstheme="minorHAnsi"/>
                <w:b/>
                <w:bCs/>
                <w:noProof/>
                <w:sz w:val="20"/>
                <w:szCs w:val="20"/>
                <w:lang w:val="es-ES_tradnl"/>
              </w:rPr>
              <w:t>4,729,224.12</w:t>
            </w:r>
            <w:r w:rsidRPr="00C80F8E">
              <w:rPr>
                <w:rFonts w:ascii="Abadi" w:hAnsi="Abadi" w:cstheme="minorHAnsi"/>
                <w:b/>
                <w:bCs/>
                <w:sz w:val="20"/>
                <w:szCs w:val="20"/>
                <w:lang w:val="es-ES_tradnl"/>
              </w:rPr>
              <w:fldChar w:fldCharType="end"/>
            </w:r>
          </w:p>
        </w:tc>
      </w:tr>
      <w:tr w:rsidR="006A60B6" w:rsidRPr="00C80F8E" w14:paraId="1D4B03AA" w14:textId="77777777" w:rsidTr="00097075">
        <w:trPr>
          <w:trHeight w:val="274"/>
        </w:trPr>
        <w:tc>
          <w:tcPr>
            <w:tcW w:w="4867" w:type="dxa"/>
          </w:tcPr>
          <w:p w14:paraId="5E0E3A83" w14:textId="77777777" w:rsidR="006A60B6" w:rsidRPr="00C80F8E" w:rsidRDefault="006A60B6" w:rsidP="006A60B6">
            <w:pPr>
              <w:jc w:val="both"/>
              <w:rPr>
                <w:rFonts w:ascii="Abadi" w:hAnsi="Abadi" w:cstheme="minorHAnsi"/>
                <w:bCs/>
                <w:sz w:val="20"/>
                <w:szCs w:val="20"/>
                <w:lang w:val="es-ES_tradnl"/>
              </w:rPr>
            </w:pPr>
            <w:r w:rsidRPr="00C80F8E">
              <w:rPr>
                <w:rFonts w:ascii="Abadi" w:hAnsi="Abadi" w:cstheme="minorHAnsi"/>
                <w:bCs/>
                <w:sz w:val="20"/>
                <w:szCs w:val="20"/>
                <w:lang w:val="es-ES_tradnl"/>
              </w:rPr>
              <w:t>Depreciación</w:t>
            </w:r>
          </w:p>
        </w:tc>
        <w:tc>
          <w:tcPr>
            <w:tcW w:w="2257" w:type="dxa"/>
            <w:tcBorders>
              <w:top w:val="single" w:sz="2" w:space="0" w:color="auto"/>
              <w:bottom w:val="single" w:sz="12" w:space="0" w:color="auto"/>
            </w:tcBorders>
          </w:tcPr>
          <w:p w14:paraId="62E7AD59" w14:textId="47202EE9" w:rsidR="006A60B6" w:rsidRPr="00C80F8E" w:rsidRDefault="006A60B6" w:rsidP="006A60B6">
            <w:pPr>
              <w:jc w:val="right"/>
              <w:rPr>
                <w:rFonts w:ascii="Abadi" w:hAnsi="Abadi" w:cstheme="minorHAnsi"/>
                <w:sz w:val="20"/>
                <w:szCs w:val="20"/>
                <w:lang w:val="es-ES_tradnl"/>
              </w:rPr>
            </w:pPr>
            <w:r w:rsidRPr="00C80F8E">
              <w:rPr>
                <w:rFonts w:ascii="Abadi" w:hAnsi="Abadi" w:cstheme="minorHAnsi"/>
                <w:sz w:val="20"/>
                <w:szCs w:val="20"/>
                <w:lang w:val="es-ES_tradnl"/>
              </w:rPr>
              <w:t>(</w:t>
            </w:r>
            <w:r w:rsidR="00081A82" w:rsidRPr="00C80F8E">
              <w:rPr>
                <w:rFonts w:ascii="Abadi" w:hAnsi="Abadi" w:cstheme="minorHAnsi"/>
                <w:sz w:val="20"/>
                <w:szCs w:val="20"/>
                <w:lang w:val="es-ES_tradnl"/>
              </w:rPr>
              <w:t>4,604,396.9</w:t>
            </w:r>
            <w:r w:rsidR="00294256">
              <w:rPr>
                <w:rFonts w:ascii="Abadi" w:hAnsi="Abadi" w:cstheme="minorHAnsi"/>
                <w:sz w:val="20"/>
                <w:szCs w:val="20"/>
                <w:lang w:val="es-ES_tradnl"/>
              </w:rPr>
              <w:t>2</w:t>
            </w:r>
            <w:r w:rsidRPr="00C80F8E">
              <w:rPr>
                <w:rFonts w:ascii="Abadi" w:hAnsi="Abadi" w:cstheme="minorHAnsi"/>
                <w:sz w:val="20"/>
                <w:szCs w:val="20"/>
                <w:lang w:val="es-ES_tradnl"/>
              </w:rPr>
              <w:t>)</w:t>
            </w:r>
          </w:p>
        </w:tc>
        <w:tc>
          <w:tcPr>
            <w:tcW w:w="2114" w:type="dxa"/>
            <w:tcBorders>
              <w:bottom w:val="single" w:sz="12" w:space="0" w:color="auto"/>
            </w:tcBorders>
          </w:tcPr>
          <w:p w14:paraId="6CF20F8A" w14:textId="1CE67076" w:rsidR="006A60B6" w:rsidRPr="00C80F8E" w:rsidRDefault="006A60B6" w:rsidP="006A60B6">
            <w:pPr>
              <w:jc w:val="right"/>
              <w:rPr>
                <w:rFonts w:ascii="Abadi" w:hAnsi="Abadi" w:cstheme="minorHAnsi"/>
                <w:sz w:val="20"/>
                <w:szCs w:val="20"/>
                <w:lang w:val="es-ES_tradnl"/>
              </w:rPr>
            </w:pPr>
            <w:r w:rsidRPr="00C80F8E">
              <w:rPr>
                <w:rFonts w:ascii="Abadi" w:hAnsi="Abadi" w:cstheme="minorHAnsi"/>
                <w:sz w:val="20"/>
                <w:szCs w:val="20"/>
                <w:lang w:val="es-ES_tradnl"/>
              </w:rPr>
              <w:t>(4,205,806.35)</w:t>
            </w:r>
          </w:p>
        </w:tc>
      </w:tr>
      <w:tr w:rsidR="006A60B6" w:rsidRPr="00C80F8E" w14:paraId="6D5349FD" w14:textId="77777777" w:rsidTr="00097075">
        <w:trPr>
          <w:trHeight w:val="258"/>
        </w:trPr>
        <w:tc>
          <w:tcPr>
            <w:tcW w:w="4867" w:type="dxa"/>
            <w:vAlign w:val="bottom"/>
          </w:tcPr>
          <w:p w14:paraId="61D86533" w14:textId="77A2ECF5" w:rsidR="006A60B6" w:rsidRPr="00C80F8E" w:rsidRDefault="006A60B6" w:rsidP="006A60B6">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  Equipos</w:t>
            </w:r>
            <w:proofErr w:type="gramEnd"/>
            <w:r w:rsidRPr="00C80F8E">
              <w:rPr>
                <w:rFonts w:ascii="Abadi" w:hAnsi="Abadi" w:cstheme="minorHAnsi"/>
                <w:b/>
                <w:bCs/>
                <w:sz w:val="20"/>
                <w:szCs w:val="20"/>
                <w:lang w:val="es-ES_tradnl"/>
              </w:rPr>
              <w:t xml:space="preserve"> de Transporte y Otros</w:t>
            </w:r>
          </w:p>
        </w:tc>
        <w:tc>
          <w:tcPr>
            <w:tcW w:w="2257" w:type="dxa"/>
            <w:tcBorders>
              <w:top w:val="single" w:sz="12" w:space="0" w:color="auto"/>
              <w:bottom w:val="double" w:sz="4" w:space="0" w:color="auto"/>
            </w:tcBorders>
            <w:vAlign w:val="bottom"/>
          </w:tcPr>
          <w:p w14:paraId="45AF4A91" w14:textId="53FDDF99" w:rsidR="006A60B6" w:rsidRPr="00C80F8E" w:rsidRDefault="003C4FD8" w:rsidP="006A60B6">
            <w:pPr>
              <w:jc w:val="right"/>
              <w:rPr>
                <w:rFonts w:ascii="Abadi" w:hAnsi="Abadi" w:cstheme="minorHAnsi"/>
                <w:b/>
                <w:bCs/>
                <w:sz w:val="20"/>
                <w:szCs w:val="20"/>
                <w:lang w:val="es-ES_tradnl"/>
              </w:rPr>
            </w:pPr>
            <w:r w:rsidRPr="00C80F8E">
              <w:rPr>
                <w:rFonts w:ascii="Abadi" w:hAnsi="Abadi" w:cstheme="minorHAnsi"/>
                <w:b/>
                <w:bCs/>
                <w:sz w:val="20"/>
                <w:szCs w:val="20"/>
                <w:lang w:val="es-ES_tradnl"/>
              </w:rPr>
              <w:t>132,969.</w:t>
            </w:r>
            <w:r w:rsidR="00294256">
              <w:rPr>
                <w:rFonts w:ascii="Abadi" w:hAnsi="Abadi" w:cstheme="minorHAnsi"/>
                <w:b/>
                <w:bCs/>
                <w:sz w:val="20"/>
                <w:szCs w:val="20"/>
                <w:lang w:val="es-ES_tradnl"/>
              </w:rPr>
              <w:t>2</w:t>
            </w:r>
            <w:r w:rsidR="005E763E">
              <w:rPr>
                <w:rFonts w:ascii="Abadi" w:hAnsi="Abadi" w:cstheme="minorHAnsi"/>
                <w:b/>
                <w:bCs/>
                <w:sz w:val="20"/>
                <w:szCs w:val="20"/>
                <w:lang w:val="es-ES_tradnl"/>
              </w:rPr>
              <w:t>1</w:t>
            </w:r>
          </w:p>
        </w:tc>
        <w:tc>
          <w:tcPr>
            <w:tcW w:w="2114" w:type="dxa"/>
            <w:tcBorders>
              <w:top w:val="single" w:sz="12" w:space="0" w:color="auto"/>
              <w:bottom w:val="double" w:sz="4" w:space="0" w:color="auto"/>
            </w:tcBorders>
            <w:vAlign w:val="bottom"/>
          </w:tcPr>
          <w:p w14:paraId="70CC6BDF" w14:textId="511E7039" w:rsidR="006A60B6" w:rsidRPr="00C80F8E" w:rsidRDefault="006A60B6" w:rsidP="006A60B6">
            <w:pPr>
              <w:jc w:val="right"/>
              <w:rPr>
                <w:rFonts w:ascii="Abadi" w:hAnsi="Abadi" w:cstheme="minorHAnsi"/>
                <w:b/>
                <w:bCs/>
                <w:sz w:val="20"/>
                <w:szCs w:val="20"/>
                <w:lang w:val="es-ES_tradnl"/>
              </w:rPr>
            </w:pPr>
            <w:r w:rsidRPr="00C80F8E">
              <w:rPr>
                <w:rFonts w:ascii="Abadi" w:hAnsi="Abadi" w:cstheme="minorHAnsi"/>
                <w:b/>
                <w:bCs/>
                <w:sz w:val="20"/>
                <w:szCs w:val="20"/>
                <w:lang w:val="es-ES_tradnl"/>
              </w:rPr>
              <w:t>523,417.77</w:t>
            </w:r>
          </w:p>
        </w:tc>
      </w:tr>
    </w:tbl>
    <w:p w14:paraId="5CDAE94D" w14:textId="77777777" w:rsidR="0037031D" w:rsidRPr="00C80F8E" w:rsidRDefault="0037031D" w:rsidP="008D4971">
      <w:pPr>
        <w:spacing w:line="360" w:lineRule="auto"/>
        <w:jc w:val="both"/>
        <w:rPr>
          <w:rFonts w:ascii="Abadi" w:hAnsi="Abadi" w:cstheme="minorHAnsi"/>
          <w:b/>
          <w:iCs/>
          <w:sz w:val="20"/>
          <w:szCs w:val="20"/>
          <w:lang w:val="es-ES_tradnl"/>
        </w:rPr>
      </w:pPr>
    </w:p>
    <w:tbl>
      <w:tblPr>
        <w:tblW w:w="9303" w:type="dxa"/>
        <w:tblCellMar>
          <w:left w:w="70" w:type="dxa"/>
          <w:right w:w="70" w:type="dxa"/>
        </w:tblCellMar>
        <w:tblLook w:val="04A0" w:firstRow="1" w:lastRow="0" w:firstColumn="1" w:lastColumn="0" w:noHBand="0" w:noVBand="1"/>
      </w:tblPr>
      <w:tblGrid>
        <w:gridCol w:w="3169"/>
        <w:gridCol w:w="2271"/>
        <w:gridCol w:w="1183"/>
        <w:gridCol w:w="1052"/>
        <w:gridCol w:w="1628"/>
      </w:tblGrid>
      <w:tr w:rsidR="00E85F0D" w:rsidRPr="00C80F8E" w14:paraId="6065D3BA" w14:textId="77777777" w:rsidTr="00CC72B7">
        <w:trPr>
          <w:trHeight w:val="318"/>
        </w:trPr>
        <w:tc>
          <w:tcPr>
            <w:tcW w:w="3169" w:type="dxa"/>
            <w:tcBorders>
              <w:top w:val="single" w:sz="4" w:space="0" w:color="auto"/>
              <w:left w:val="single" w:sz="4" w:space="0" w:color="auto"/>
              <w:bottom w:val="nil"/>
              <w:right w:val="single" w:sz="4" w:space="0" w:color="auto"/>
            </w:tcBorders>
            <w:shd w:val="clear" w:color="000000" w:fill="0070C0"/>
            <w:vAlign w:val="center"/>
            <w:hideMark/>
          </w:tcPr>
          <w:p w14:paraId="717E8D3D" w14:textId="77777777" w:rsidR="00E85F0D" w:rsidRPr="00C80F8E" w:rsidRDefault="00E85F0D" w:rsidP="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Marca/Año</w:t>
            </w:r>
          </w:p>
        </w:tc>
        <w:tc>
          <w:tcPr>
            <w:tcW w:w="2271" w:type="dxa"/>
            <w:tcBorders>
              <w:top w:val="single" w:sz="4" w:space="0" w:color="auto"/>
              <w:left w:val="single" w:sz="4" w:space="0" w:color="auto"/>
              <w:bottom w:val="nil"/>
              <w:right w:val="single" w:sz="4" w:space="0" w:color="auto"/>
            </w:tcBorders>
            <w:shd w:val="clear" w:color="000000" w:fill="0070C0"/>
            <w:vAlign w:val="center"/>
            <w:hideMark/>
          </w:tcPr>
          <w:p w14:paraId="1EFD4769" w14:textId="77777777" w:rsidR="00E85F0D" w:rsidRPr="00C80F8E" w:rsidRDefault="00E85F0D" w:rsidP="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Chasis</w:t>
            </w:r>
          </w:p>
        </w:tc>
        <w:tc>
          <w:tcPr>
            <w:tcW w:w="1183" w:type="dxa"/>
            <w:tcBorders>
              <w:top w:val="single" w:sz="4" w:space="0" w:color="auto"/>
              <w:left w:val="single" w:sz="4" w:space="0" w:color="auto"/>
              <w:bottom w:val="nil"/>
              <w:right w:val="single" w:sz="4" w:space="0" w:color="auto"/>
            </w:tcBorders>
            <w:shd w:val="clear" w:color="000000" w:fill="0070C0"/>
            <w:vAlign w:val="center"/>
            <w:hideMark/>
          </w:tcPr>
          <w:p w14:paraId="75A9507F" w14:textId="77777777" w:rsidR="00E85F0D" w:rsidRPr="00C80F8E" w:rsidRDefault="00E85F0D" w:rsidP="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Placa</w:t>
            </w:r>
          </w:p>
        </w:tc>
        <w:tc>
          <w:tcPr>
            <w:tcW w:w="1052" w:type="dxa"/>
            <w:tcBorders>
              <w:top w:val="single" w:sz="4" w:space="0" w:color="auto"/>
              <w:left w:val="single" w:sz="4" w:space="0" w:color="auto"/>
              <w:bottom w:val="nil"/>
              <w:right w:val="single" w:sz="4" w:space="0" w:color="auto"/>
            </w:tcBorders>
            <w:shd w:val="clear" w:color="000000" w:fill="0070C0"/>
            <w:vAlign w:val="center"/>
            <w:hideMark/>
          </w:tcPr>
          <w:p w14:paraId="7B8211AB" w14:textId="77777777" w:rsidR="00E85F0D" w:rsidRPr="00C80F8E" w:rsidRDefault="00E85F0D" w:rsidP="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Color</w:t>
            </w:r>
          </w:p>
        </w:tc>
        <w:tc>
          <w:tcPr>
            <w:tcW w:w="1628" w:type="dxa"/>
            <w:tcBorders>
              <w:top w:val="single" w:sz="4" w:space="0" w:color="auto"/>
              <w:left w:val="single" w:sz="4" w:space="0" w:color="auto"/>
              <w:bottom w:val="nil"/>
              <w:right w:val="single" w:sz="4" w:space="0" w:color="auto"/>
            </w:tcBorders>
            <w:shd w:val="clear" w:color="000000" w:fill="0070C0"/>
            <w:vAlign w:val="center"/>
            <w:hideMark/>
          </w:tcPr>
          <w:p w14:paraId="47ECBEF0" w14:textId="77777777" w:rsidR="00E85F0D" w:rsidRPr="00C80F8E" w:rsidRDefault="00E85F0D" w:rsidP="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Costo</w:t>
            </w:r>
          </w:p>
        </w:tc>
      </w:tr>
      <w:tr w:rsidR="00E85F0D" w:rsidRPr="00C80F8E" w14:paraId="778CB121" w14:textId="77777777" w:rsidTr="00CC72B7">
        <w:trPr>
          <w:trHeight w:val="318"/>
        </w:trPr>
        <w:tc>
          <w:tcPr>
            <w:tcW w:w="3169" w:type="dxa"/>
            <w:tcBorders>
              <w:top w:val="single" w:sz="4" w:space="0" w:color="auto"/>
              <w:left w:val="single" w:sz="4" w:space="0" w:color="auto"/>
              <w:bottom w:val="single" w:sz="4" w:space="0" w:color="auto"/>
              <w:right w:val="single" w:sz="4" w:space="0" w:color="auto"/>
            </w:tcBorders>
            <w:noWrap/>
            <w:vAlign w:val="bottom"/>
            <w:hideMark/>
          </w:tcPr>
          <w:p w14:paraId="3D787EE8" w14:textId="77777777" w:rsidR="00E85F0D" w:rsidRPr="00C80F8E" w:rsidRDefault="00E85F0D" w:rsidP="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 xml:space="preserve">Autobús Toyota </w:t>
            </w:r>
            <w:proofErr w:type="spellStart"/>
            <w:r w:rsidRPr="00C80F8E">
              <w:rPr>
                <w:rFonts w:ascii="Abadi" w:eastAsia="Times New Roman" w:hAnsi="Abadi" w:cs="Calibri"/>
                <w:sz w:val="18"/>
                <w:szCs w:val="18"/>
                <w:lang w:val="es-ES_tradnl" w:eastAsia="es-DO"/>
              </w:rPr>
              <w:t>Hiace</w:t>
            </w:r>
            <w:proofErr w:type="spellEnd"/>
            <w:r w:rsidRPr="00C80F8E">
              <w:rPr>
                <w:rFonts w:ascii="Abadi" w:eastAsia="Times New Roman" w:hAnsi="Abadi" w:cs="Calibri"/>
                <w:sz w:val="18"/>
                <w:szCs w:val="18"/>
                <w:lang w:val="es-ES_tradnl" w:eastAsia="es-DO"/>
              </w:rPr>
              <w:t xml:space="preserve"> 2017</w:t>
            </w:r>
          </w:p>
        </w:tc>
        <w:tc>
          <w:tcPr>
            <w:tcW w:w="2271" w:type="dxa"/>
            <w:tcBorders>
              <w:top w:val="single" w:sz="4" w:space="0" w:color="auto"/>
              <w:left w:val="single" w:sz="4" w:space="0" w:color="auto"/>
              <w:bottom w:val="single" w:sz="4" w:space="0" w:color="auto"/>
              <w:right w:val="single" w:sz="4" w:space="0" w:color="auto"/>
            </w:tcBorders>
            <w:noWrap/>
            <w:vAlign w:val="bottom"/>
            <w:hideMark/>
          </w:tcPr>
          <w:p w14:paraId="52A9592E" w14:textId="77777777" w:rsidR="00E85F0D" w:rsidRPr="00C80F8E" w:rsidRDefault="00E85F0D" w:rsidP="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JTFSS22P200165340</w:t>
            </w:r>
          </w:p>
        </w:tc>
        <w:tc>
          <w:tcPr>
            <w:tcW w:w="1183" w:type="dxa"/>
            <w:tcBorders>
              <w:top w:val="single" w:sz="4" w:space="0" w:color="auto"/>
              <w:left w:val="single" w:sz="4" w:space="0" w:color="auto"/>
              <w:bottom w:val="single" w:sz="4" w:space="0" w:color="auto"/>
              <w:right w:val="single" w:sz="4" w:space="0" w:color="auto"/>
            </w:tcBorders>
            <w:noWrap/>
            <w:vAlign w:val="bottom"/>
            <w:hideMark/>
          </w:tcPr>
          <w:p w14:paraId="45CF1DD1" w14:textId="77777777" w:rsidR="00E85F0D" w:rsidRPr="00C80F8E" w:rsidRDefault="00E85F0D" w:rsidP="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I078385</w:t>
            </w: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35B7A82E" w14:textId="77777777" w:rsidR="00E85F0D" w:rsidRPr="00C80F8E" w:rsidRDefault="00E85F0D" w:rsidP="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Blanco</w:t>
            </w:r>
          </w:p>
        </w:tc>
        <w:tc>
          <w:tcPr>
            <w:tcW w:w="1628" w:type="dxa"/>
            <w:tcBorders>
              <w:top w:val="single" w:sz="4" w:space="0" w:color="auto"/>
              <w:left w:val="single" w:sz="4" w:space="0" w:color="auto"/>
              <w:bottom w:val="single" w:sz="4" w:space="0" w:color="auto"/>
              <w:right w:val="single" w:sz="4" w:space="0" w:color="auto"/>
            </w:tcBorders>
            <w:noWrap/>
            <w:vAlign w:val="center"/>
            <w:hideMark/>
          </w:tcPr>
          <w:p w14:paraId="61BBAA9A" w14:textId="77777777" w:rsidR="00E85F0D" w:rsidRPr="00C80F8E" w:rsidRDefault="00E85F0D" w:rsidP="00E85F0D">
            <w:pPr>
              <w:spacing w:after="0" w:line="240" w:lineRule="auto"/>
              <w:jc w:val="center"/>
              <w:rPr>
                <w:rFonts w:ascii="Abadi" w:eastAsia="Times New Roman" w:hAnsi="Abadi" w:cs="Calibri"/>
                <w:color w:val="000000"/>
                <w:sz w:val="18"/>
                <w:szCs w:val="18"/>
                <w:lang w:val="es-ES_tradnl" w:eastAsia="es-DO"/>
              </w:rPr>
            </w:pPr>
            <w:r w:rsidRPr="00C80F8E">
              <w:rPr>
                <w:rFonts w:ascii="Abadi" w:eastAsia="Times New Roman" w:hAnsi="Abadi" w:cs="Calibri"/>
                <w:color w:val="000000"/>
                <w:sz w:val="18"/>
                <w:szCs w:val="18"/>
                <w:lang w:val="es-ES_tradnl" w:eastAsia="es-DO"/>
              </w:rPr>
              <w:t xml:space="preserve">     2,325,926.40 </w:t>
            </w:r>
          </w:p>
        </w:tc>
      </w:tr>
      <w:tr w:rsidR="00E85F0D" w:rsidRPr="00C80F8E" w14:paraId="519255DC" w14:textId="77777777" w:rsidTr="00CC72B7">
        <w:trPr>
          <w:trHeight w:val="318"/>
        </w:trPr>
        <w:tc>
          <w:tcPr>
            <w:tcW w:w="3169" w:type="dxa"/>
            <w:tcBorders>
              <w:top w:val="nil"/>
              <w:left w:val="single" w:sz="4" w:space="0" w:color="auto"/>
              <w:bottom w:val="single" w:sz="4" w:space="0" w:color="auto"/>
              <w:right w:val="single" w:sz="4" w:space="0" w:color="auto"/>
            </w:tcBorders>
            <w:noWrap/>
            <w:vAlign w:val="bottom"/>
            <w:hideMark/>
          </w:tcPr>
          <w:p w14:paraId="6B74415C" w14:textId="77777777" w:rsidR="00E85F0D" w:rsidRPr="00C80F8E" w:rsidRDefault="00E85F0D" w:rsidP="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Toyota Hilux</w:t>
            </w:r>
          </w:p>
        </w:tc>
        <w:tc>
          <w:tcPr>
            <w:tcW w:w="2271" w:type="dxa"/>
            <w:tcBorders>
              <w:top w:val="nil"/>
              <w:left w:val="single" w:sz="4" w:space="0" w:color="auto"/>
              <w:bottom w:val="single" w:sz="4" w:space="0" w:color="auto"/>
              <w:right w:val="single" w:sz="4" w:space="0" w:color="auto"/>
            </w:tcBorders>
            <w:noWrap/>
            <w:vAlign w:val="bottom"/>
            <w:hideMark/>
          </w:tcPr>
          <w:p w14:paraId="65FC68B8" w14:textId="77777777" w:rsidR="00E85F0D" w:rsidRPr="00C80F8E" w:rsidRDefault="00E85F0D" w:rsidP="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8AJKB3CD801620963</w:t>
            </w:r>
          </w:p>
        </w:tc>
        <w:tc>
          <w:tcPr>
            <w:tcW w:w="1183" w:type="dxa"/>
            <w:tcBorders>
              <w:top w:val="nil"/>
              <w:left w:val="single" w:sz="4" w:space="0" w:color="auto"/>
              <w:bottom w:val="single" w:sz="4" w:space="0" w:color="auto"/>
              <w:right w:val="single" w:sz="4" w:space="0" w:color="auto"/>
            </w:tcBorders>
            <w:noWrap/>
            <w:vAlign w:val="bottom"/>
            <w:hideMark/>
          </w:tcPr>
          <w:p w14:paraId="1F4A5641" w14:textId="77777777" w:rsidR="00E85F0D" w:rsidRPr="00C80F8E" w:rsidRDefault="00E85F0D" w:rsidP="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L412390</w:t>
            </w:r>
          </w:p>
        </w:tc>
        <w:tc>
          <w:tcPr>
            <w:tcW w:w="1052" w:type="dxa"/>
            <w:tcBorders>
              <w:top w:val="nil"/>
              <w:left w:val="single" w:sz="4" w:space="0" w:color="auto"/>
              <w:bottom w:val="single" w:sz="4" w:space="0" w:color="auto"/>
              <w:right w:val="single" w:sz="4" w:space="0" w:color="auto"/>
            </w:tcBorders>
            <w:noWrap/>
            <w:vAlign w:val="bottom"/>
            <w:hideMark/>
          </w:tcPr>
          <w:p w14:paraId="01DBB550" w14:textId="77777777" w:rsidR="00E85F0D" w:rsidRPr="00C80F8E" w:rsidRDefault="00E85F0D" w:rsidP="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Blanco</w:t>
            </w:r>
          </w:p>
        </w:tc>
        <w:tc>
          <w:tcPr>
            <w:tcW w:w="1628" w:type="dxa"/>
            <w:tcBorders>
              <w:top w:val="nil"/>
              <w:left w:val="single" w:sz="4" w:space="0" w:color="auto"/>
              <w:bottom w:val="single" w:sz="4" w:space="0" w:color="auto"/>
              <w:right w:val="single" w:sz="4" w:space="0" w:color="auto"/>
            </w:tcBorders>
            <w:noWrap/>
            <w:vAlign w:val="center"/>
            <w:hideMark/>
          </w:tcPr>
          <w:p w14:paraId="64C76C4B" w14:textId="77777777" w:rsidR="00E85F0D" w:rsidRPr="00C80F8E" w:rsidRDefault="00E85F0D" w:rsidP="00E85F0D">
            <w:pPr>
              <w:spacing w:after="0" w:line="240" w:lineRule="auto"/>
              <w:jc w:val="center"/>
              <w:rPr>
                <w:rFonts w:ascii="Abadi" w:eastAsia="Times New Roman" w:hAnsi="Abadi" w:cs="Calibri"/>
                <w:color w:val="000000"/>
                <w:sz w:val="18"/>
                <w:szCs w:val="18"/>
                <w:lang w:val="es-ES_tradnl" w:eastAsia="es-DO"/>
              </w:rPr>
            </w:pPr>
            <w:r w:rsidRPr="00C80F8E">
              <w:rPr>
                <w:rFonts w:ascii="Abadi" w:eastAsia="Times New Roman" w:hAnsi="Abadi" w:cs="Calibri"/>
                <w:color w:val="000000"/>
                <w:sz w:val="18"/>
                <w:szCs w:val="18"/>
                <w:lang w:val="es-ES_tradnl" w:eastAsia="es-DO"/>
              </w:rPr>
              <w:t xml:space="preserve">     2,136,510.00 </w:t>
            </w:r>
          </w:p>
        </w:tc>
      </w:tr>
      <w:tr w:rsidR="00E85F0D" w:rsidRPr="00C80F8E" w14:paraId="58FB57AA" w14:textId="2CC81C79" w:rsidTr="00CC72B7">
        <w:trPr>
          <w:trHeight w:val="335"/>
        </w:trPr>
        <w:tc>
          <w:tcPr>
            <w:tcW w:w="7675" w:type="dxa"/>
            <w:gridSpan w:val="4"/>
            <w:tcBorders>
              <w:top w:val="nil"/>
              <w:left w:val="single" w:sz="4" w:space="0" w:color="auto"/>
              <w:bottom w:val="single" w:sz="8" w:space="0" w:color="auto"/>
              <w:right w:val="single" w:sz="4" w:space="0" w:color="auto"/>
            </w:tcBorders>
            <w:shd w:val="clear" w:color="auto" w:fill="FFFFFF" w:themeFill="background1"/>
            <w:noWrap/>
            <w:vAlign w:val="bottom"/>
            <w:hideMark/>
          </w:tcPr>
          <w:p w14:paraId="3DBB6415" w14:textId="42263F65" w:rsidR="00E85F0D" w:rsidRPr="00C80F8E" w:rsidRDefault="00E85F0D" w:rsidP="00E85F0D">
            <w:pPr>
              <w:spacing w:after="0" w:line="240" w:lineRule="auto"/>
              <w:rPr>
                <w:rFonts w:ascii="Abadi" w:eastAsia="Times New Roman" w:hAnsi="Abadi" w:cs="Calibri"/>
                <w:b/>
                <w:bCs/>
                <w:color w:val="000000"/>
                <w:sz w:val="18"/>
                <w:szCs w:val="18"/>
                <w:lang w:val="es-ES_tradnl" w:eastAsia="es-DO"/>
              </w:rPr>
            </w:pPr>
            <w:r w:rsidRPr="00C80F8E">
              <w:rPr>
                <w:rFonts w:ascii="Abadi" w:eastAsia="Times New Roman" w:hAnsi="Abadi" w:cs="Calibri"/>
                <w:b/>
                <w:bCs/>
                <w:color w:val="000000"/>
                <w:sz w:val="18"/>
                <w:szCs w:val="18"/>
                <w:lang w:val="es-ES_tradnl" w:eastAsia="es-DO"/>
              </w:rPr>
              <w:t xml:space="preserve"> </w:t>
            </w:r>
            <w:proofErr w:type="gramStart"/>
            <w:r w:rsidRPr="00C80F8E">
              <w:rPr>
                <w:rFonts w:ascii="Abadi" w:eastAsia="Times New Roman" w:hAnsi="Abadi" w:cs="Calibri"/>
                <w:b/>
                <w:bCs/>
                <w:color w:val="000000"/>
                <w:sz w:val="18"/>
                <w:szCs w:val="18"/>
                <w:lang w:val="es-ES_tradnl" w:eastAsia="es-DO"/>
              </w:rPr>
              <w:t>Total</w:t>
            </w:r>
            <w:proofErr w:type="gramEnd"/>
            <w:r w:rsidRPr="00C80F8E">
              <w:rPr>
                <w:rFonts w:ascii="Abadi" w:eastAsia="Times New Roman" w:hAnsi="Abadi" w:cs="Calibri"/>
                <w:b/>
                <w:bCs/>
                <w:color w:val="000000"/>
                <w:sz w:val="18"/>
                <w:szCs w:val="18"/>
                <w:lang w:val="es-ES_tradnl" w:eastAsia="es-DO"/>
              </w:rPr>
              <w:t xml:space="preserve"> Equipos de Transporte</w:t>
            </w:r>
          </w:p>
        </w:tc>
        <w:tc>
          <w:tcPr>
            <w:tcW w:w="1628" w:type="dxa"/>
            <w:tcBorders>
              <w:top w:val="nil"/>
              <w:left w:val="single" w:sz="4" w:space="0" w:color="auto"/>
              <w:bottom w:val="single" w:sz="8" w:space="0" w:color="auto"/>
              <w:right w:val="single" w:sz="4" w:space="0" w:color="auto"/>
            </w:tcBorders>
            <w:shd w:val="clear" w:color="auto" w:fill="FFFFFF" w:themeFill="background1"/>
            <w:vAlign w:val="bottom"/>
          </w:tcPr>
          <w:p w14:paraId="13F910F2" w14:textId="77777777" w:rsidR="00E85F0D" w:rsidRPr="00C80F8E" w:rsidRDefault="00E85F0D" w:rsidP="00E85F0D">
            <w:pPr>
              <w:spacing w:after="0" w:line="240" w:lineRule="auto"/>
              <w:ind w:left="294"/>
              <w:rPr>
                <w:rFonts w:ascii="Abadi" w:eastAsia="Times New Roman" w:hAnsi="Abadi" w:cs="Calibri"/>
                <w:b/>
                <w:bCs/>
                <w:color w:val="000000"/>
                <w:sz w:val="18"/>
                <w:szCs w:val="18"/>
                <w:lang w:val="es-ES_tradnl" w:eastAsia="es-DO"/>
              </w:rPr>
            </w:pPr>
            <w:r w:rsidRPr="00C80F8E">
              <w:rPr>
                <w:rFonts w:ascii="Abadi" w:eastAsia="Times New Roman" w:hAnsi="Abadi" w:cs="Calibri"/>
                <w:b/>
                <w:bCs/>
                <w:color w:val="000000"/>
                <w:sz w:val="18"/>
                <w:szCs w:val="18"/>
                <w:lang w:val="es-ES_tradnl" w:eastAsia="es-DO"/>
              </w:rPr>
              <w:t xml:space="preserve">4,462,436.40 </w:t>
            </w:r>
          </w:p>
        </w:tc>
      </w:tr>
    </w:tbl>
    <w:p w14:paraId="486E2EBA" w14:textId="77777777" w:rsidR="00CC72B7" w:rsidRPr="00C80F8E" w:rsidRDefault="00CC72B7" w:rsidP="008D4971">
      <w:pPr>
        <w:spacing w:line="360" w:lineRule="auto"/>
        <w:jc w:val="both"/>
        <w:rPr>
          <w:rFonts w:ascii="Abadi" w:hAnsi="Abadi" w:cstheme="minorHAnsi"/>
          <w:b/>
          <w:iCs/>
          <w:sz w:val="20"/>
          <w:szCs w:val="20"/>
          <w:lang w:val="es-ES_tradnl"/>
        </w:rPr>
      </w:pPr>
    </w:p>
    <w:tbl>
      <w:tblPr>
        <w:tblW w:w="9320" w:type="dxa"/>
        <w:tblCellMar>
          <w:left w:w="70" w:type="dxa"/>
          <w:right w:w="70" w:type="dxa"/>
        </w:tblCellMar>
        <w:tblLook w:val="04A0" w:firstRow="1" w:lastRow="0" w:firstColumn="1" w:lastColumn="0" w:noHBand="0" w:noVBand="1"/>
      </w:tblPr>
      <w:tblGrid>
        <w:gridCol w:w="3170"/>
        <w:gridCol w:w="2272"/>
        <w:gridCol w:w="1184"/>
        <w:gridCol w:w="1061"/>
        <w:gridCol w:w="1633"/>
      </w:tblGrid>
      <w:tr w:rsidR="00E85F0D" w:rsidRPr="00C80F8E" w14:paraId="0B305395" w14:textId="77777777" w:rsidTr="00CC72B7">
        <w:trPr>
          <w:trHeight w:val="286"/>
        </w:trPr>
        <w:tc>
          <w:tcPr>
            <w:tcW w:w="3170" w:type="dxa"/>
            <w:tcBorders>
              <w:top w:val="nil"/>
              <w:left w:val="single" w:sz="4" w:space="0" w:color="auto"/>
              <w:bottom w:val="nil"/>
              <w:right w:val="single" w:sz="4" w:space="0" w:color="auto"/>
            </w:tcBorders>
            <w:shd w:val="clear" w:color="000000" w:fill="0070C0"/>
            <w:vAlign w:val="center"/>
            <w:hideMark/>
          </w:tcPr>
          <w:p w14:paraId="49AD4587" w14:textId="77777777" w:rsidR="00E85F0D" w:rsidRPr="00C80F8E" w:rsidRDefault="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Marca/Año</w:t>
            </w:r>
          </w:p>
        </w:tc>
        <w:tc>
          <w:tcPr>
            <w:tcW w:w="2272" w:type="dxa"/>
            <w:tcBorders>
              <w:top w:val="nil"/>
              <w:left w:val="single" w:sz="4" w:space="0" w:color="auto"/>
              <w:bottom w:val="nil"/>
              <w:right w:val="single" w:sz="4" w:space="0" w:color="auto"/>
            </w:tcBorders>
            <w:shd w:val="clear" w:color="000000" w:fill="0070C0"/>
            <w:vAlign w:val="center"/>
            <w:hideMark/>
          </w:tcPr>
          <w:p w14:paraId="175133F9" w14:textId="77777777" w:rsidR="00E85F0D" w:rsidRPr="00C80F8E" w:rsidRDefault="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Chasis</w:t>
            </w:r>
          </w:p>
        </w:tc>
        <w:tc>
          <w:tcPr>
            <w:tcW w:w="1184" w:type="dxa"/>
            <w:tcBorders>
              <w:top w:val="nil"/>
              <w:left w:val="single" w:sz="4" w:space="0" w:color="auto"/>
              <w:bottom w:val="nil"/>
              <w:right w:val="single" w:sz="4" w:space="0" w:color="auto"/>
            </w:tcBorders>
            <w:shd w:val="clear" w:color="000000" w:fill="0070C0"/>
            <w:vAlign w:val="center"/>
            <w:hideMark/>
          </w:tcPr>
          <w:p w14:paraId="21438876" w14:textId="77777777" w:rsidR="00E85F0D" w:rsidRPr="00C80F8E" w:rsidRDefault="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Placa</w:t>
            </w:r>
          </w:p>
        </w:tc>
        <w:tc>
          <w:tcPr>
            <w:tcW w:w="1059" w:type="dxa"/>
            <w:tcBorders>
              <w:top w:val="nil"/>
              <w:left w:val="single" w:sz="4" w:space="0" w:color="auto"/>
              <w:bottom w:val="nil"/>
              <w:right w:val="single" w:sz="4" w:space="0" w:color="auto"/>
            </w:tcBorders>
            <w:shd w:val="clear" w:color="000000" w:fill="0070C0"/>
            <w:vAlign w:val="center"/>
            <w:hideMark/>
          </w:tcPr>
          <w:p w14:paraId="36D6E8C4" w14:textId="77777777" w:rsidR="00E85F0D" w:rsidRPr="00C80F8E" w:rsidRDefault="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Color</w:t>
            </w:r>
          </w:p>
        </w:tc>
        <w:tc>
          <w:tcPr>
            <w:tcW w:w="1633" w:type="dxa"/>
            <w:tcBorders>
              <w:top w:val="nil"/>
              <w:left w:val="single" w:sz="4" w:space="0" w:color="auto"/>
              <w:bottom w:val="nil"/>
              <w:right w:val="single" w:sz="4" w:space="0" w:color="auto"/>
            </w:tcBorders>
            <w:shd w:val="clear" w:color="000000" w:fill="0070C0"/>
            <w:vAlign w:val="center"/>
            <w:hideMark/>
          </w:tcPr>
          <w:p w14:paraId="6DAC6F22" w14:textId="77777777" w:rsidR="00E85F0D" w:rsidRPr="00C80F8E" w:rsidRDefault="00E85F0D">
            <w:pPr>
              <w:spacing w:after="0" w:line="240" w:lineRule="auto"/>
              <w:jc w:val="center"/>
              <w:rPr>
                <w:rFonts w:ascii="Abadi" w:eastAsia="Times New Roman" w:hAnsi="Abadi" w:cs="Calibri"/>
                <w:b/>
                <w:bCs/>
                <w:color w:val="FFFFFF"/>
                <w:sz w:val="18"/>
                <w:szCs w:val="18"/>
                <w:lang w:val="es-ES_tradnl" w:eastAsia="es-DO"/>
              </w:rPr>
            </w:pPr>
            <w:r w:rsidRPr="00C80F8E">
              <w:rPr>
                <w:rFonts w:ascii="Abadi" w:eastAsia="Times New Roman" w:hAnsi="Abadi" w:cs="Calibri"/>
                <w:b/>
                <w:bCs/>
                <w:color w:val="FFFFFF"/>
                <w:sz w:val="18"/>
                <w:szCs w:val="18"/>
                <w:lang w:val="es-ES_tradnl" w:eastAsia="es-DO"/>
              </w:rPr>
              <w:t>Costo</w:t>
            </w:r>
          </w:p>
        </w:tc>
      </w:tr>
      <w:tr w:rsidR="00E85F0D" w:rsidRPr="00C80F8E" w14:paraId="122CFA99" w14:textId="77777777" w:rsidTr="00CC72B7">
        <w:trPr>
          <w:trHeight w:val="286"/>
        </w:trPr>
        <w:tc>
          <w:tcPr>
            <w:tcW w:w="3170" w:type="dxa"/>
            <w:tcBorders>
              <w:top w:val="single" w:sz="4" w:space="0" w:color="auto"/>
              <w:left w:val="single" w:sz="4" w:space="0" w:color="auto"/>
              <w:bottom w:val="single" w:sz="4" w:space="0" w:color="auto"/>
              <w:right w:val="single" w:sz="4" w:space="0" w:color="auto"/>
            </w:tcBorders>
            <w:noWrap/>
            <w:vAlign w:val="bottom"/>
            <w:hideMark/>
          </w:tcPr>
          <w:p w14:paraId="580321B7" w14:textId="77777777" w:rsidR="00E85F0D" w:rsidRPr="00C80F8E" w:rsidRDefault="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Bajaj Platina 125 ES UG  2020</w:t>
            </w:r>
          </w:p>
        </w:tc>
        <w:tc>
          <w:tcPr>
            <w:tcW w:w="2272" w:type="dxa"/>
            <w:tcBorders>
              <w:top w:val="single" w:sz="4" w:space="0" w:color="auto"/>
              <w:left w:val="single" w:sz="4" w:space="0" w:color="auto"/>
              <w:bottom w:val="single" w:sz="4" w:space="0" w:color="auto"/>
              <w:right w:val="single" w:sz="4" w:space="0" w:color="auto"/>
            </w:tcBorders>
            <w:noWrap/>
            <w:vAlign w:val="bottom"/>
            <w:hideMark/>
          </w:tcPr>
          <w:p w14:paraId="0B31583A" w14:textId="77777777" w:rsidR="00E85F0D" w:rsidRPr="00C80F8E" w:rsidRDefault="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MD2A76BY3LWA48273</w:t>
            </w:r>
          </w:p>
        </w:tc>
        <w:tc>
          <w:tcPr>
            <w:tcW w:w="1184" w:type="dxa"/>
            <w:tcBorders>
              <w:top w:val="single" w:sz="4" w:space="0" w:color="auto"/>
              <w:left w:val="single" w:sz="4" w:space="0" w:color="auto"/>
              <w:bottom w:val="single" w:sz="4" w:space="0" w:color="auto"/>
              <w:right w:val="single" w:sz="4" w:space="0" w:color="auto"/>
            </w:tcBorders>
            <w:noWrap/>
            <w:vAlign w:val="bottom"/>
            <w:hideMark/>
          </w:tcPr>
          <w:p w14:paraId="7F126E60" w14:textId="77777777" w:rsidR="00E85F0D" w:rsidRPr="00C80F8E" w:rsidRDefault="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K1838835</w:t>
            </w:r>
          </w:p>
        </w:tc>
        <w:tc>
          <w:tcPr>
            <w:tcW w:w="1059" w:type="dxa"/>
            <w:tcBorders>
              <w:top w:val="single" w:sz="4" w:space="0" w:color="auto"/>
              <w:left w:val="single" w:sz="4" w:space="0" w:color="auto"/>
              <w:bottom w:val="single" w:sz="4" w:space="0" w:color="auto"/>
              <w:right w:val="single" w:sz="4" w:space="0" w:color="auto"/>
            </w:tcBorders>
            <w:noWrap/>
            <w:vAlign w:val="bottom"/>
            <w:hideMark/>
          </w:tcPr>
          <w:p w14:paraId="012159C1" w14:textId="77777777" w:rsidR="00E85F0D" w:rsidRPr="00C80F8E" w:rsidRDefault="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Rojo</w:t>
            </w:r>
          </w:p>
        </w:tc>
        <w:tc>
          <w:tcPr>
            <w:tcW w:w="1633" w:type="dxa"/>
            <w:tcBorders>
              <w:top w:val="single" w:sz="4" w:space="0" w:color="auto"/>
              <w:left w:val="single" w:sz="4" w:space="0" w:color="auto"/>
              <w:bottom w:val="single" w:sz="4" w:space="0" w:color="auto"/>
              <w:right w:val="single" w:sz="4" w:space="0" w:color="auto"/>
            </w:tcBorders>
            <w:noWrap/>
            <w:vAlign w:val="center"/>
            <w:hideMark/>
          </w:tcPr>
          <w:p w14:paraId="777D04C5" w14:textId="77777777" w:rsidR="00E85F0D" w:rsidRPr="00C80F8E" w:rsidRDefault="00E85F0D">
            <w:pPr>
              <w:spacing w:after="0" w:line="240" w:lineRule="auto"/>
              <w:jc w:val="center"/>
              <w:rPr>
                <w:rFonts w:ascii="Abadi" w:eastAsia="Times New Roman" w:hAnsi="Abadi" w:cs="Calibri"/>
                <w:color w:val="000000"/>
                <w:sz w:val="18"/>
                <w:szCs w:val="18"/>
                <w:lang w:val="es-ES_tradnl" w:eastAsia="es-DO"/>
              </w:rPr>
            </w:pPr>
            <w:r w:rsidRPr="00C80F8E">
              <w:rPr>
                <w:rFonts w:ascii="Abadi" w:eastAsia="Times New Roman" w:hAnsi="Abadi" w:cs="Calibri"/>
                <w:color w:val="000000"/>
                <w:sz w:val="18"/>
                <w:szCs w:val="18"/>
                <w:lang w:val="es-ES_tradnl" w:eastAsia="es-DO"/>
              </w:rPr>
              <w:t xml:space="preserve">          67,334.85 </w:t>
            </w:r>
          </w:p>
        </w:tc>
      </w:tr>
      <w:tr w:rsidR="00E85F0D" w:rsidRPr="00C80F8E" w14:paraId="13E8FDC7" w14:textId="77777777" w:rsidTr="00CC72B7">
        <w:trPr>
          <w:trHeight w:val="286"/>
        </w:trPr>
        <w:tc>
          <w:tcPr>
            <w:tcW w:w="3170" w:type="dxa"/>
            <w:tcBorders>
              <w:top w:val="nil"/>
              <w:left w:val="single" w:sz="4" w:space="0" w:color="auto"/>
              <w:bottom w:val="single" w:sz="4" w:space="0" w:color="auto"/>
              <w:right w:val="single" w:sz="4" w:space="0" w:color="auto"/>
            </w:tcBorders>
            <w:noWrap/>
            <w:vAlign w:val="bottom"/>
            <w:hideMark/>
          </w:tcPr>
          <w:p w14:paraId="6296765A" w14:textId="77777777" w:rsidR="00E85F0D" w:rsidRPr="00C80F8E" w:rsidRDefault="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Bajaj Platina 125 CBS  2024</w:t>
            </w:r>
          </w:p>
        </w:tc>
        <w:tc>
          <w:tcPr>
            <w:tcW w:w="2272" w:type="dxa"/>
            <w:tcBorders>
              <w:top w:val="nil"/>
              <w:left w:val="single" w:sz="4" w:space="0" w:color="auto"/>
              <w:bottom w:val="single" w:sz="4" w:space="0" w:color="auto"/>
              <w:right w:val="single" w:sz="4" w:space="0" w:color="auto"/>
            </w:tcBorders>
            <w:noWrap/>
            <w:vAlign w:val="bottom"/>
            <w:hideMark/>
          </w:tcPr>
          <w:p w14:paraId="4147526E" w14:textId="77777777" w:rsidR="00E85F0D" w:rsidRPr="00C80F8E" w:rsidRDefault="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MD2A76AX0RWD47365</w:t>
            </w:r>
          </w:p>
        </w:tc>
        <w:tc>
          <w:tcPr>
            <w:tcW w:w="1184" w:type="dxa"/>
            <w:tcBorders>
              <w:top w:val="nil"/>
              <w:left w:val="single" w:sz="4" w:space="0" w:color="auto"/>
              <w:bottom w:val="single" w:sz="4" w:space="0" w:color="auto"/>
              <w:right w:val="single" w:sz="4" w:space="0" w:color="auto"/>
            </w:tcBorders>
            <w:noWrap/>
            <w:vAlign w:val="bottom"/>
            <w:hideMark/>
          </w:tcPr>
          <w:p w14:paraId="683229D7" w14:textId="77777777" w:rsidR="00E85F0D" w:rsidRPr="00C80F8E" w:rsidRDefault="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w:t>
            </w:r>
          </w:p>
        </w:tc>
        <w:tc>
          <w:tcPr>
            <w:tcW w:w="1059" w:type="dxa"/>
            <w:tcBorders>
              <w:top w:val="nil"/>
              <w:left w:val="single" w:sz="4" w:space="0" w:color="auto"/>
              <w:bottom w:val="single" w:sz="4" w:space="0" w:color="auto"/>
              <w:right w:val="single" w:sz="4" w:space="0" w:color="auto"/>
            </w:tcBorders>
            <w:noWrap/>
            <w:vAlign w:val="bottom"/>
            <w:hideMark/>
          </w:tcPr>
          <w:p w14:paraId="677BFBD0" w14:textId="77777777" w:rsidR="00E85F0D" w:rsidRPr="00C80F8E" w:rsidRDefault="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Negro/Azul</w:t>
            </w:r>
          </w:p>
        </w:tc>
        <w:tc>
          <w:tcPr>
            <w:tcW w:w="1633" w:type="dxa"/>
            <w:tcBorders>
              <w:top w:val="nil"/>
              <w:left w:val="single" w:sz="4" w:space="0" w:color="auto"/>
              <w:bottom w:val="single" w:sz="4" w:space="0" w:color="auto"/>
              <w:right w:val="single" w:sz="4" w:space="0" w:color="auto"/>
            </w:tcBorders>
            <w:noWrap/>
            <w:vAlign w:val="center"/>
            <w:hideMark/>
          </w:tcPr>
          <w:p w14:paraId="1A784B2F" w14:textId="77777777" w:rsidR="00E85F0D" w:rsidRPr="00C80F8E" w:rsidRDefault="00E85F0D">
            <w:pPr>
              <w:spacing w:after="0" w:line="240" w:lineRule="auto"/>
              <w:jc w:val="center"/>
              <w:rPr>
                <w:rFonts w:ascii="Abadi" w:eastAsia="Times New Roman" w:hAnsi="Abadi" w:cs="Calibri"/>
                <w:color w:val="000000"/>
                <w:sz w:val="18"/>
                <w:szCs w:val="18"/>
                <w:lang w:val="es-ES_tradnl" w:eastAsia="es-DO"/>
              </w:rPr>
            </w:pPr>
            <w:r w:rsidRPr="00C80F8E">
              <w:rPr>
                <w:rFonts w:ascii="Abadi" w:eastAsia="Times New Roman" w:hAnsi="Abadi" w:cs="Calibri"/>
                <w:color w:val="000000"/>
                <w:sz w:val="18"/>
                <w:szCs w:val="18"/>
                <w:lang w:val="es-ES_tradnl" w:eastAsia="es-DO"/>
              </w:rPr>
              <w:t xml:space="preserve">          99,726.44 </w:t>
            </w:r>
          </w:p>
        </w:tc>
      </w:tr>
      <w:tr w:rsidR="00E85F0D" w:rsidRPr="00C80F8E" w14:paraId="73159B7A" w14:textId="77777777" w:rsidTr="00CC72B7">
        <w:trPr>
          <w:trHeight w:val="286"/>
        </w:trPr>
        <w:tc>
          <w:tcPr>
            <w:tcW w:w="3170" w:type="dxa"/>
            <w:tcBorders>
              <w:top w:val="nil"/>
              <w:left w:val="single" w:sz="4" w:space="0" w:color="auto"/>
              <w:bottom w:val="single" w:sz="4" w:space="0" w:color="auto"/>
              <w:right w:val="single" w:sz="4" w:space="0" w:color="auto"/>
            </w:tcBorders>
            <w:noWrap/>
            <w:vAlign w:val="bottom"/>
            <w:hideMark/>
          </w:tcPr>
          <w:p w14:paraId="6C5C7B81" w14:textId="77777777" w:rsidR="00E85F0D" w:rsidRPr="00C80F8E" w:rsidRDefault="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Bajaj Platina 125 CBS  2024</w:t>
            </w:r>
          </w:p>
        </w:tc>
        <w:tc>
          <w:tcPr>
            <w:tcW w:w="2272" w:type="dxa"/>
            <w:tcBorders>
              <w:top w:val="nil"/>
              <w:left w:val="single" w:sz="4" w:space="0" w:color="auto"/>
              <w:bottom w:val="single" w:sz="4" w:space="0" w:color="auto"/>
              <w:right w:val="single" w:sz="4" w:space="0" w:color="auto"/>
            </w:tcBorders>
            <w:noWrap/>
            <w:vAlign w:val="bottom"/>
            <w:hideMark/>
          </w:tcPr>
          <w:p w14:paraId="32FAF741" w14:textId="77777777" w:rsidR="00E85F0D" w:rsidRPr="00C80F8E" w:rsidRDefault="00E85F0D">
            <w:pPr>
              <w:spacing w:after="0" w:line="240" w:lineRule="auto"/>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MD2A76AX2RWD47366</w:t>
            </w:r>
          </w:p>
        </w:tc>
        <w:tc>
          <w:tcPr>
            <w:tcW w:w="1184" w:type="dxa"/>
            <w:tcBorders>
              <w:top w:val="nil"/>
              <w:left w:val="single" w:sz="4" w:space="0" w:color="auto"/>
              <w:bottom w:val="single" w:sz="4" w:space="0" w:color="auto"/>
              <w:right w:val="single" w:sz="4" w:space="0" w:color="auto"/>
            </w:tcBorders>
            <w:noWrap/>
            <w:vAlign w:val="bottom"/>
            <w:hideMark/>
          </w:tcPr>
          <w:p w14:paraId="60EC47F6" w14:textId="77777777" w:rsidR="00E85F0D" w:rsidRPr="00C80F8E" w:rsidRDefault="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w:t>
            </w:r>
          </w:p>
        </w:tc>
        <w:tc>
          <w:tcPr>
            <w:tcW w:w="1059" w:type="dxa"/>
            <w:tcBorders>
              <w:top w:val="nil"/>
              <w:left w:val="single" w:sz="4" w:space="0" w:color="auto"/>
              <w:bottom w:val="single" w:sz="4" w:space="0" w:color="auto"/>
              <w:right w:val="single" w:sz="4" w:space="0" w:color="auto"/>
            </w:tcBorders>
            <w:noWrap/>
            <w:vAlign w:val="bottom"/>
            <w:hideMark/>
          </w:tcPr>
          <w:p w14:paraId="63918FEB" w14:textId="77777777" w:rsidR="00E85F0D" w:rsidRPr="00C80F8E" w:rsidRDefault="00E85F0D">
            <w:pPr>
              <w:spacing w:after="0" w:line="240" w:lineRule="auto"/>
              <w:jc w:val="center"/>
              <w:rPr>
                <w:rFonts w:ascii="Abadi" w:eastAsia="Times New Roman" w:hAnsi="Abadi" w:cs="Calibri"/>
                <w:sz w:val="18"/>
                <w:szCs w:val="18"/>
                <w:lang w:val="es-ES_tradnl" w:eastAsia="es-DO"/>
              </w:rPr>
            </w:pPr>
            <w:r w:rsidRPr="00C80F8E">
              <w:rPr>
                <w:rFonts w:ascii="Abadi" w:eastAsia="Times New Roman" w:hAnsi="Abadi" w:cs="Calibri"/>
                <w:sz w:val="18"/>
                <w:szCs w:val="18"/>
                <w:lang w:val="es-ES_tradnl" w:eastAsia="es-DO"/>
              </w:rPr>
              <w:t>Negro/Azul</w:t>
            </w:r>
          </w:p>
        </w:tc>
        <w:tc>
          <w:tcPr>
            <w:tcW w:w="1633" w:type="dxa"/>
            <w:tcBorders>
              <w:top w:val="nil"/>
              <w:left w:val="single" w:sz="4" w:space="0" w:color="auto"/>
              <w:bottom w:val="single" w:sz="4" w:space="0" w:color="auto"/>
              <w:right w:val="single" w:sz="4" w:space="0" w:color="auto"/>
            </w:tcBorders>
            <w:noWrap/>
            <w:vAlign w:val="center"/>
            <w:hideMark/>
          </w:tcPr>
          <w:p w14:paraId="624B0542" w14:textId="77777777" w:rsidR="00E85F0D" w:rsidRPr="00C80F8E" w:rsidRDefault="00E85F0D">
            <w:pPr>
              <w:spacing w:after="0" w:line="240" w:lineRule="auto"/>
              <w:jc w:val="center"/>
              <w:rPr>
                <w:rFonts w:ascii="Abadi" w:eastAsia="Times New Roman" w:hAnsi="Abadi" w:cs="Calibri"/>
                <w:color w:val="000000"/>
                <w:sz w:val="18"/>
                <w:szCs w:val="18"/>
                <w:lang w:val="es-ES_tradnl" w:eastAsia="es-DO"/>
              </w:rPr>
            </w:pPr>
            <w:r w:rsidRPr="00C80F8E">
              <w:rPr>
                <w:rFonts w:ascii="Abadi" w:eastAsia="Times New Roman" w:hAnsi="Abadi" w:cs="Calibri"/>
                <w:color w:val="000000"/>
                <w:sz w:val="18"/>
                <w:szCs w:val="18"/>
                <w:lang w:val="es-ES_tradnl" w:eastAsia="es-DO"/>
              </w:rPr>
              <w:t xml:space="preserve">          99,726.43 </w:t>
            </w:r>
          </w:p>
        </w:tc>
      </w:tr>
      <w:tr w:rsidR="00E85F0D" w:rsidRPr="00C80F8E" w14:paraId="72E07C20" w14:textId="204D464A" w:rsidTr="00CC72B7">
        <w:trPr>
          <w:trHeight w:val="300"/>
        </w:trPr>
        <w:tc>
          <w:tcPr>
            <w:tcW w:w="7687" w:type="dxa"/>
            <w:gridSpan w:val="4"/>
            <w:tcBorders>
              <w:top w:val="nil"/>
              <w:left w:val="single" w:sz="4" w:space="0" w:color="auto"/>
              <w:bottom w:val="single" w:sz="8" w:space="0" w:color="auto"/>
              <w:right w:val="single" w:sz="4" w:space="0" w:color="auto"/>
            </w:tcBorders>
            <w:shd w:val="clear" w:color="auto" w:fill="FFFFFF" w:themeFill="background1"/>
            <w:noWrap/>
            <w:vAlign w:val="bottom"/>
            <w:hideMark/>
          </w:tcPr>
          <w:p w14:paraId="2F0F23E3" w14:textId="3C6B35A0" w:rsidR="00E85F0D" w:rsidRPr="00C80F8E" w:rsidRDefault="00E85F0D" w:rsidP="00E85F0D">
            <w:pPr>
              <w:spacing w:after="0" w:line="240" w:lineRule="auto"/>
              <w:rPr>
                <w:rFonts w:ascii="Abadi" w:eastAsia="Times New Roman" w:hAnsi="Abadi" w:cs="Calibri"/>
                <w:b/>
                <w:bCs/>
                <w:color w:val="000000"/>
                <w:sz w:val="18"/>
                <w:szCs w:val="18"/>
                <w:lang w:val="es-ES_tradnl" w:eastAsia="es-DO"/>
              </w:rPr>
            </w:pPr>
            <w:proofErr w:type="gramStart"/>
            <w:r w:rsidRPr="00C80F8E">
              <w:rPr>
                <w:rFonts w:ascii="Abadi" w:eastAsia="Times New Roman" w:hAnsi="Abadi" w:cs="Calibri"/>
                <w:b/>
                <w:bCs/>
                <w:color w:val="000000"/>
                <w:sz w:val="18"/>
                <w:szCs w:val="18"/>
                <w:lang w:val="es-ES_tradnl" w:eastAsia="es-DO"/>
              </w:rPr>
              <w:t>Total</w:t>
            </w:r>
            <w:proofErr w:type="gramEnd"/>
            <w:r w:rsidRPr="00C80F8E">
              <w:rPr>
                <w:rFonts w:ascii="Abadi" w:eastAsia="Times New Roman" w:hAnsi="Abadi" w:cs="Calibri"/>
                <w:b/>
                <w:bCs/>
                <w:color w:val="000000"/>
                <w:sz w:val="18"/>
                <w:szCs w:val="18"/>
                <w:lang w:val="es-ES_tradnl" w:eastAsia="es-DO"/>
              </w:rPr>
              <w:t xml:space="preserve"> Otros Equipos de Transporte</w:t>
            </w:r>
          </w:p>
        </w:tc>
        <w:tc>
          <w:tcPr>
            <w:tcW w:w="1633" w:type="dxa"/>
            <w:tcBorders>
              <w:top w:val="nil"/>
              <w:left w:val="single" w:sz="4" w:space="0" w:color="auto"/>
              <w:bottom w:val="single" w:sz="8" w:space="0" w:color="auto"/>
              <w:right w:val="single" w:sz="4" w:space="0" w:color="auto"/>
            </w:tcBorders>
            <w:shd w:val="clear" w:color="auto" w:fill="FFFFFF" w:themeFill="background1"/>
            <w:vAlign w:val="bottom"/>
          </w:tcPr>
          <w:p w14:paraId="4F8E36A2" w14:textId="77777777" w:rsidR="00E85F0D" w:rsidRPr="00C80F8E" w:rsidRDefault="00E85F0D" w:rsidP="00E85F0D">
            <w:pPr>
              <w:spacing w:after="0" w:line="240" w:lineRule="auto"/>
              <w:ind w:left="469"/>
              <w:rPr>
                <w:rFonts w:ascii="Abadi" w:eastAsia="Times New Roman" w:hAnsi="Abadi" w:cs="Calibri"/>
                <w:b/>
                <w:bCs/>
                <w:color w:val="000000"/>
                <w:sz w:val="18"/>
                <w:szCs w:val="18"/>
                <w:lang w:val="es-ES_tradnl" w:eastAsia="es-DO"/>
              </w:rPr>
            </w:pPr>
            <w:r w:rsidRPr="00C80F8E">
              <w:rPr>
                <w:rFonts w:ascii="Abadi" w:eastAsia="Times New Roman" w:hAnsi="Abadi" w:cs="Calibri"/>
                <w:b/>
                <w:bCs/>
                <w:color w:val="000000"/>
                <w:sz w:val="18"/>
                <w:szCs w:val="18"/>
                <w:lang w:val="es-ES_tradnl" w:eastAsia="es-DO"/>
              </w:rPr>
              <w:t xml:space="preserve">266,787.72 </w:t>
            </w:r>
          </w:p>
        </w:tc>
      </w:tr>
    </w:tbl>
    <w:p w14:paraId="5BDA6383" w14:textId="5B1C741A" w:rsidR="008D4971" w:rsidRPr="00C80F8E" w:rsidRDefault="008D4971" w:rsidP="008D4971">
      <w:pPr>
        <w:spacing w:line="360" w:lineRule="auto"/>
        <w:jc w:val="both"/>
        <w:rPr>
          <w:rFonts w:ascii="Abadi" w:hAnsi="Abadi" w:cstheme="minorHAnsi"/>
          <w:b/>
          <w:iCs/>
          <w:sz w:val="20"/>
          <w:szCs w:val="20"/>
          <w:lang w:val="es-ES_tradnl"/>
        </w:rPr>
      </w:pPr>
    </w:p>
    <w:p w14:paraId="5E498D8D" w14:textId="6B1AC8D4" w:rsidR="0090707F" w:rsidRPr="00C80F8E" w:rsidRDefault="00E55F33" w:rsidP="0090707F">
      <w:pPr>
        <w:spacing w:line="360" w:lineRule="auto"/>
        <w:jc w:val="both"/>
        <w:rPr>
          <w:rFonts w:ascii="Abadi" w:hAnsi="Abadi" w:cstheme="minorHAnsi"/>
          <w:b/>
          <w:sz w:val="20"/>
          <w:szCs w:val="20"/>
          <w:lang w:val="es-ES_tradnl"/>
        </w:rPr>
      </w:pPr>
      <w:r w:rsidRPr="00C80F8E">
        <w:rPr>
          <w:rFonts w:ascii="Abadi" w:hAnsi="Abadi" w:cstheme="minorHAnsi"/>
          <w:b/>
          <w:sz w:val="20"/>
          <w:szCs w:val="20"/>
          <w:lang w:val="es-ES_tradnl"/>
        </w:rPr>
        <w:t>1</w:t>
      </w:r>
      <w:r w:rsidR="001B6097" w:rsidRPr="00C80F8E">
        <w:rPr>
          <w:rFonts w:ascii="Abadi" w:hAnsi="Abadi" w:cstheme="minorHAnsi"/>
          <w:b/>
          <w:sz w:val="20"/>
          <w:szCs w:val="20"/>
          <w:lang w:val="es-ES_tradnl"/>
        </w:rPr>
        <w:t>2</w:t>
      </w:r>
      <w:r w:rsidRPr="00C80F8E">
        <w:rPr>
          <w:rFonts w:ascii="Abadi" w:hAnsi="Abadi" w:cstheme="minorHAnsi"/>
          <w:b/>
          <w:sz w:val="20"/>
          <w:szCs w:val="20"/>
          <w:lang w:val="es-ES_tradnl"/>
        </w:rPr>
        <w:t xml:space="preserve">.4 </w:t>
      </w:r>
      <w:r w:rsidR="0090707F" w:rsidRPr="00C80F8E">
        <w:rPr>
          <w:rFonts w:ascii="Abadi" w:hAnsi="Abadi" w:cstheme="minorHAnsi"/>
          <w:b/>
          <w:sz w:val="20"/>
          <w:szCs w:val="20"/>
          <w:lang w:val="es-ES_tradnl"/>
        </w:rPr>
        <w:t>Mobiliarios y Equipos Oficinas</w:t>
      </w:r>
    </w:p>
    <w:p w14:paraId="7DF9E80B" w14:textId="335C2391" w:rsidR="003121F1" w:rsidRPr="00C80F8E" w:rsidRDefault="003121F1" w:rsidP="003121F1">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Al 30 de junio de 2025, el valor neto en libros de los mobiliarios y equipos de oficina ascendió a RD$5,161,21</w:t>
      </w:r>
      <w:r w:rsidR="00F57369">
        <w:rPr>
          <w:rFonts w:ascii="Abadi" w:hAnsi="Abadi" w:cstheme="minorHAnsi"/>
          <w:bCs/>
          <w:iCs/>
          <w:sz w:val="20"/>
          <w:szCs w:val="20"/>
          <w:lang w:val="es-ES_tradnl"/>
        </w:rPr>
        <w:t>5.34</w:t>
      </w:r>
      <w:r w:rsidRPr="00C80F8E">
        <w:rPr>
          <w:rFonts w:ascii="Abadi" w:hAnsi="Abadi" w:cstheme="minorHAnsi"/>
          <w:bCs/>
          <w:iCs/>
          <w:sz w:val="20"/>
          <w:szCs w:val="20"/>
          <w:lang w:val="es-ES_tradnl"/>
        </w:rPr>
        <w:t>, mientras que al 30 de junio de 2024 era de RD$5,387,129.16. Esta diferencia representa una disminución absoluta de RD$225,</w:t>
      </w:r>
      <w:r w:rsidR="006D6368">
        <w:rPr>
          <w:rFonts w:ascii="Abadi" w:hAnsi="Abadi" w:cstheme="minorHAnsi"/>
          <w:bCs/>
          <w:iCs/>
          <w:sz w:val="20"/>
          <w:szCs w:val="20"/>
          <w:lang w:val="es-ES_tradnl"/>
        </w:rPr>
        <w:t>913.82</w:t>
      </w:r>
      <w:r w:rsidRPr="00C80F8E">
        <w:rPr>
          <w:rFonts w:ascii="Abadi" w:hAnsi="Abadi" w:cstheme="minorHAnsi"/>
          <w:bCs/>
          <w:iCs/>
          <w:sz w:val="20"/>
          <w:szCs w:val="20"/>
          <w:lang w:val="es-ES_tradnl"/>
        </w:rPr>
        <w:t xml:space="preserve"> y una variación relativa negativa de 4.19%.</w:t>
      </w:r>
    </w:p>
    <w:p w14:paraId="23FF8423" w14:textId="7222ACF8" w:rsidR="003121F1" w:rsidRPr="00C80F8E" w:rsidRDefault="003121F1" w:rsidP="0090707F">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Durante el primer semestre de 2024, se registraron adiciones por RD$62,127.00, sin reportarse retiros de activos. El valor bruto del activo aumentó de RD$21,420,382.00 en 2024 a RD$22,223,566.52 en 2025. No obstante, la depreciación acumulada incrementó de RD$16,033,252.84 a RD$17,062,351.</w:t>
      </w:r>
      <w:r w:rsidR="00061763">
        <w:rPr>
          <w:rFonts w:ascii="Abadi" w:hAnsi="Abadi" w:cstheme="minorHAnsi"/>
          <w:bCs/>
          <w:iCs/>
          <w:sz w:val="20"/>
          <w:szCs w:val="20"/>
          <w:lang w:val="es-ES_tradnl"/>
        </w:rPr>
        <w:t>0</w:t>
      </w:r>
      <w:r w:rsidRPr="00C80F8E">
        <w:rPr>
          <w:rFonts w:ascii="Abadi" w:hAnsi="Abadi" w:cstheme="minorHAnsi"/>
          <w:bCs/>
          <w:iCs/>
          <w:sz w:val="20"/>
          <w:szCs w:val="20"/>
          <w:lang w:val="es-ES_tradnl"/>
        </w:rPr>
        <w:t>2, lo que explica la reducción en el valor neto.</w:t>
      </w:r>
    </w:p>
    <w:tbl>
      <w:tblPr>
        <w:tblStyle w:val="Tablaconcuadrcula"/>
        <w:tblW w:w="0" w:type="auto"/>
        <w:tblInd w:w="66" w:type="dxa"/>
        <w:tblLook w:val="04A0" w:firstRow="1" w:lastRow="0" w:firstColumn="1" w:lastColumn="0" w:noHBand="0" w:noVBand="1"/>
      </w:tblPr>
      <w:tblGrid>
        <w:gridCol w:w="4867"/>
        <w:gridCol w:w="2257"/>
        <w:gridCol w:w="2114"/>
      </w:tblGrid>
      <w:tr w:rsidR="0090707F" w:rsidRPr="00C80F8E" w14:paraId="01ADA20A" w14:textId="77777777" w:rsidTr="00F07000">
        <w:trPr>
          <w:trHeight w:val="258"/>
        </w:trPr>
        <w:tc>
          <w:tcPr>
            <w:tcW w:w="4867" w:type="dxa"/>
            <w:shd w:val="clear" w:color="auto" w:fill="0070C0"/>
          </w:tcPr>
          <w:p w14:paraId="46C85268" w14:textId="77777777" w:rsidR="0090707F" w:rsidRPr="00C80F8E" w:rsidRDefault="0090707F"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57" w:type="dxa"/>
            <w:tcBorders>
              <w:bottom w:val="single" w:sz="4" w:space="0" w:color="auto"/>
            </w:tcBorders>
            <w:shd w:val="clear" w:color="auto" w:fill="0070C0"/>
          </w:tcPr>
          <w:p w14:paraId="0E0E471C" w14:textId="5FEF9644" w:rsidR="0090707F" w:rsidRPr="00C80F8E" w:rsidRDefault="0090707F"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1C7AC5" w:rsidRPr="00C80F8E">
              <w:rPr>
                <w:rFonts w:ascii="Abadi" w:hAnsi="Abadi" w:cstheme="minorHAnsi"/>
                <w:b/>
                <w:bCs/>
                <w:color w:val="FFFFFF" w:themeColor="background1"/>
                <w:sz w:val="20"/>
                <w:szCs w:val="20"/>
                <w:lang w:val="es-ES_tradnl"/>
              </w:rPr>
              <w:t>5</w:t>
            </w:r>
          </w:p>
        </w:tc>
        <w:tc>
          <w:tcPr>
            <w:tcW w:w="2114" w:type="dxa"/>
            <w:tcBorders>
              <w:bottom w:val="single" w:sz="4" w:space="0" w:color="auto"/>
            </w:tcBorders>
            <w:shd w:val="clear" w:color="auto" w:fill="0070C0"/>
          </w:tcPr>
          <w:p w14:paraId="54CAC327" w14:textId="40D75A74" w:rsidR="0090707F" w:rsidRPr="00C80F8E" w:rsidRDefault="0090707F"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2C3099" w:rsidRPr="00C80F8E">
              <w:rPr>
                <w:rFonts w:ascii="Abadi" w:hAnsi="Abadi" w:cstheme="minorHAnsi"/>
                <w:b/>
                <w:bCs/>
                <w:color w:val="FFFFFF" w:themeColor="background1"/>
                <w:sz w:val="20"/>
                <w:szCs w:val="20"/>
                <w:lang w:val="es-ES_tradnl"/>
              </w:rPr>
              <w:t>4</w:t>
            </w:r>
          </w:p>
        </w:tc>
      </w:tr>
      <w:tr w:rsidR="0090707F" w:rsidRPr="00C80F8E" w14:paraId="4BAC6CDF" w14:textId="77777777" w:rsidTr="00DB69D9">
        <w:trPr>
          <w:trHeight w:val="274"/>
        </w:trPr>
        <w:tc>
          <w:tcPr>
            <w:tcW w:w="4867" w:type="dxa"/>
          </w:tcPr>
          <w:p w14:paraId="7D2DF833" w14:textId="77777777" w:rsidR="0090707F" w:rsidRPr="00C80F8E" w:rsidRDefault="0090707F" w:rsidP="00DB69D9">
            <w:pPr>
              <w:jc w:val="both"/>
              <w:rPr>
                <w:rFonts w:ascii="Abadi" w:hAnsi="Abadi" w:cstheme="minorHAnsi"/>
                <w:sz w:val="20"/>
                <w:szCs w:val="20"/>
                <w:lang w:val="es-ES_tradnl"/>
              </w:rPr>
            </w:pPr>
            <w:r w:rsidRPr="00C80F8E">
              <w:rPr>
                <w:rFonts w:ascii="Abadi" w:hAnsi="Abadi" w:cstheme="minorHAnsi"/>
                <w:bCs/>
                <w:sz w:val="20"/>
                <w:szCs w:val="20"/>
                <w:lang w:val="es-ES_tradnl"/>
              </w:rPr>
              <w:t>Mobiliarios y Equipos Oficinas</w:t>
            </w:r>
          </w:p>
        </w:tc>
        <w:tc>
          <w:tcPr>
            <w:tcW w:w="2257" w:type="dxa"/>
            <w:tcBorders>
              <w:bottom w:val="single" w:sz="4" w:space="0" w:color="auto"/>
            </w:tcBorders>
          </w:tcPr>
          <w:p w14:paraId="6797C0ED" w14:textId="32DA325A" w:rsidR="008D216F" w:rsidRPr="00C80F8E" w:rsidRDefault="00560780" w:rsidP="008D216F">
            <w:pPr>
              <w:jc w:val="right"/>
              <w:rPr>
                <w:rFonts w:ascii="Abadi" w:hAnsi="Abadi" w:cstheme="minorHAnsi"/>
                <w:sz w:val="20"/>
                <w:szCs w:val="20"/>
                <w:lang w:val="es-ES_tradnl"/>
              </w:rPr>
            </w:pPr>
            <w:r>
              <w:rPr>
                <w:rFonts w:ascii="Abadi" w:hAnsi="Abadi" w:cstheme="minorHAnsi"/>
                <w:sz w:val="20"/>
                <w:szCs w:val="20"/>
                <w:lang w:val="es-ES_tradnl"/>
              </w:rPr>
              <w:t>22</w:t>
            </w:r>
            <w:r w:rsidR="009B33EA">
              <w:rPr>
                <w:rFonts w:ascii="Abadi" w:hAnsi="Abadi" w:cstheme="minorHAnsi"/>
                <w:sz w:val="20"/>
                <w:szCs w:val="20"/>
                <w:lang w:val="es-ES_tradnl"/>
              </w:rPr>
              <w:t>,</w:t>
            </w:r>
            <w:r>
              <w:rPr>
                <w:rFonts w:ascii="Abadi" w:hAnsi="Abadi" w:cstheme="minorHAnsi"/>
                <w:sz w:val="20"/>
                <w:szCs w:val="20"/>
                <w:lang w:val="es-ES_tradnl"/>
              </w:rPr>
              <w:t>223</w:t>
            </w:r>
            <w:r w:rsidR="009B33EA">
              <w:rPr>
                <w:rFonts w:ascii="Abadi" w:hAnsi="Abadi" w:cstheme="minorHAnsi"/>
                <w:sz w:val="20"/>
                <w:szCs w:val="20"/>
                <w:lang w:val="es-ES_tradnl"/>
              </w:rPr>
              <w:t>,566.36</w:t>
            </w:r>
          </w:p>
        </w:tc>
        <w:tc>
          <w:tcPr>
            <w:tcW w:w="2114" w:type="dxa"/>
            <w:tcBorders>
              <w:bottom w:val="single" w:sz="4" w:space="0" w:color="auto"/>
            </w:tcBorders>
          </w:tcPr>
          <w:p w14:paraId="43D1335E" w14:textId="0AB4388F" w:rsidR="0090707F" w:rsidRPr="00C80F8E" w:rsidRDefault="00A77DDA" w:rsidP="00DB69D9">
            <w:pPr>
              <w:jc w:val="right"/>
              <w:rPr>
                <w:rFonts w:ascii="Abadi" w:hAnsi="Abadi" w:cstheme="minorHAnsi"/>
                <w:sz w:val="20"/>
                <w:szCs w:val="20"/>
                <w:lang w:val="es-ES_tradnl"/>
              </w:rPr>
            </w:pPr>
            <w:r w:rsidRPr="00C80F8E">
              <w:rPr>
                <w:rFonts w:ascii="Abadi" w:hAnsi="Abadi" w:cstheme="minorHAnsi"/>
                <w:sz w:val="20"/>
                <w:szCs w:val="20"/>
                <w:lang w:val="es-ES_tradnl"/>
              </w:rPr>
              <w:t>21,358,255.</w:t>
            </w:r>
            <w:r w:rsidR="00252F8B" w:rsidRPr="00C80F8E">
              <w:rPr>
                <w:rFonts w:ascii="Abadi" w:hAnsi="Abadi" w:cstheme="minorHAnsi"/>
                <w:sz w:val="20"/>
                <w:szCs w:val="20"/>
                <w:lang w:val="es-ES_tradnl"/>
              </w:rPr>
              <w:t>00</w:t>
            </w:r>
          </w:p>
        </w:tc>
      </w:tr>
      <w:tr w:rsidR="002A46A0" w:rsidRPr="00C80F8E" w14:paraId="6B1E2420" w14:textId="77777777" w:rsidTr="00DB69D9">
        <w:trPr>
          <w:trHeight w:val="274"/>
        </w:trPr>
        <w:tc>
          <w:tcPr>
            <w:tcW w:w="4867" w:type="dxa"/>
          </w:tcPr>
          <w:p w14:paraId="5A935999" w14:textId="31977B2C" w:rsidR="002A46A0" w:rsidRPr="00C80F8E" w:rsidRDefault="00BA31A6"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Adiciones</w:t>
            </w:r>
          </w:p>
        </w:tc>
        <w:tc>
          <w:tcPr>
            <w:tcW w:w="2257" w:type="dxa"/>
            <w:tcBorders>
              <w:bottom w:val="single" w:sz="4" w:space="0" w:color="auto"/>
            </w:tcBorders>
          </w:tcPr>
          <w:p w14:paraId="61E12197" w14:textId="0F79F5DE" w:rsidR="002A46A0" w:rsidRPr="00C80F8E" w:rsidRDefault="009B33EA" w:rsidP="00DB69D9">
            <w:pPr>
              <w:jc w:val="right"/>
              <w:rPr>
                <w:rFonts w:ascii="Abadi" w:hAnsi="Abadi" w:cstheme="minorHAnsi"/>
                <w:sz w:val="20"/>
                <w:szCs w:val="20"/>
                <w:lang w:val="es-ES_tradnl"/>
              </w:rPr>
            </w:pPr>
            <w:r>
              <w:rPr>
                <w:rFonts w:ascii="Abadi" w:hAnsi="Abadi" w:cstheme="minorHAnsi"/>
                <w:sz w:val="20"/>
                <w:szCs w:val="20"/>
                <w:lang w:val="es-ES_tradnl"/>
              </w:rPr>
              <w:t>0.00</w:t>
            </w:r>
          </w:p>
        </w:tc>
        <w:tc>
          <w:tcPr>
            <w:tcW w:w="2114" w:type="dxa"/>
            <w:tcBorders>
              <w:bottom w:val="single" w:sz="4" w:space="0" w:color="auto"/>
            </w:tcBorders>
          </w:tcPr>
          <w:p w14:paraId="14D283FC" w14:textId="4130A860" w:rsidR="002A46A0" w:rsidRPr="00C80F8E" w:rsidRDefault="001C2CAA" w:rsidP="00DB69D9">
            <w:pPr>
              <w:jc w:val="right"/>
              <w:rPr>
                <w:rFonts w:ascii="Abadi" w:hAnsi="Abadi" w:cstheme="minorHAnsi"/>
                <w:sz w:val="20"/>
                <w:szCs w:val="20"/>
                <w:lang w:val="es-ES_tradnl"/>
              </w:rPr>
            </w:pPr>
            <w:r w:rsidRPr="00C80F8E">
              <w:rPr>
                <w:rFonts w:ascii="Abadi" w:hAnsi="Abadi" w:cstheme="minorHAnsi"/>
                <w:sz w:val="20"/>
                <w:szCs w:val="20"/>
                <w:lang w:val="es-ES_tradnl"/>
              </w:rPr>
              <w:t>62,127.00</w:t>
            </w:r>
          </w:p>
        </w:tc>
      </w:tr>
      <w:tr w:rsidR="002A46A0" w:rsidRPr="00C80F8E" w14:paraId="48C8606B" w14:textId="77777777" w:rsidTr="00DB69D9">
        <w:trPr>
          <w:trHeight w:val="274"/>
        </w:trPr>
        <w:tc>
          <w:tcPr>
            <w:tcW w:w="4867" w:type="dxa"/>
          </w:tcPr>
          <w:p w14:paraId="41419BAA" w14:textId="5849F76B" w:rsidR="002A46A0" w:rsidRPr="00C80F8E" w:rsidRDefault="00BA31A6"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Retiros</w:t>
            </w:r>
          </w:p>
        </w:tc>
        <w:tc>
          <w:tcPr>
            <w:tcW w:w="2257" w:type="dxa"/>
            <w:tcBorders>
              <w:bottom w:val="single" w:sz="4" w:space="0" w:color="auto"/>
            </w:tcBorders>
          </w:tcPr>
          <w:p w14:paraId="0CFD933D" w14:textId="75029EC4" w:rsidR="002A46A0" w:rsidRPr="00C80F8E" w:rsidRDefault="001C5385"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14" w:type="dxa"/>
            <w:tcBorders>
              <w:bottom w:val="single" w:sz="4" w:space="0" w:color="auto"/>
            </w:tcBorders>
          </w:tcPr>
          <w:p w14:paraId="770653C3" w14:textId="4A959DB5" w:rsidR="002A46A0" w:rsidRPr="00C80F8E" w:rsidRDefault="00C262BD"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90707F" w:rsidRPr="00C80F8E" w14:paraId="634FAB6F" w14:textId="77777777" w:rsidTr="00DB69D9">
        <w:trPr>
          <w:trHeight w:val="258"/>
        </w:trPr>
        <w:tc>
          <w:tcPr>
            <w:tcW w:w="4867" w:type="dxa"/>
            <w:tcBorders>
              <w:right w:val="single" w:sz="2" w:space="0" w:color="auto"/>
            </w:tcBorders>
          </w:tcPr>
          <w:p w14:paraId="30D98B0B" w14:textId="71A66547" w:rsidR="0090707F" w:rsidRPr="00C80F8E" w:rsidRDefault="0090707F" w:rsidP="00DB69D9">
            <w:pPr>
              <w:jc w:val="both"/>
              <w:rPr>
                <w:rFonts w:ascii="Abadi" w:hAnsi="Abadi" w:cstheme="minorHAnsi"/>
                <w:b/>
                <w:sz w:val="20"/>
                <w:szCs w:val="20"/>
                <w:lang w:val="es-ES_tradnl"/>
              </w:rPr>
            </w:pPr>
            <w:r w:rsidRPr="00C80F8E">
              <w:rPr>
                <w:rFonts w:ascii="Abadi" w:hAnsi="Abadi" w:cstheme="minorHAnsi"/>
                <w:b/>
                <w:sz w:val="20"/>
                <w:szCs w:val="20"/>
                <w:lang w:val="es-ES_tradnl"/>
              </w:rPr>
              <w:lastRenderedPageBreak/>
              <w:t xml:space="preserve">Total, </w:t>
            </w:r>
          </w:p>
        </w:tc>
        <w:tc>
          <w:tcPr>
            <w:tcW w:w="2257" w:type="dxa"/>
            <w:tcBorders>
              <w:top w:val="single" w:sz="12" w:space="0" w:color="auto"/>
              <w:left w:val="single" w:sz="2" w:space="0" w:color="auto"/>
              <w:bottom w:val="single" w:sz="2" w:space="0" w:color="auto"/>
              <w:right w:val="single" w:sz="2" w:space="0" w:color="auto"/>
            </w:tcBorders>
          </w:tcPr>
          <w:p w14:paraId="24B7EB48" w14:textId="7576C270" w:rsidR="0090707F" w:rsidRPr="00C80F8E" w:rsidRDefault="009D7B7E" w:rsidP="009D71C0">
            <w:pPr>
              <w:jc w:val="right"/>
              <w:rPr>
                <w:rFonts w:ascii="Abadi" w:hAnsi="Abadi" w:cstheme="minorHAnsi"/>
                <w:b/>
                <w:bCs/>
                <w:sz w:val="20"/>
                <w:szCs w:val="20"/>
                <w:lang w:val="es-ES_tradnl"/>
              </w:rPr>
            </w:pPr>
            <w:r w:rsidRPr="00C80F8E">
              <w:rPr>
                <w:rFonts w:ascii="Abadi" w:hAnsi="Abadi" w:cstheme="minorHAnsi"/>
                <w:b/>
                <w:bCs/>
                <w:sz w:val="20"/>
                <w:szCs w:val="20"/>
                <w:lang w:val="es-ES_tradnl"/>
              </w:rPr>
              <w:t>22,223,566.</w:t>
            </w:r>
            <w:r w:rsidR="009B33EA">
              <w:rPr>
                <w:rFonts w:ascii="Abadi" w:hAnsi="Abadi" w:cstheme="minorHAnsi"/>
                <w:b/>
                <w:bCs/>
                <w:sz w:val="20"/>
                <w:szCs w:val="20"/>
                <w:lang w:val="es-ES_tradnl"/>
              </w:rPr>
              <w:t>36</w:t>
            </w:r>
          </w:p>
        </w:tc>
        <w:tc>
          <w:tcPr>
            <w:tcW w:w="2114" w:type="dxa"/>
            <w:tcBorders>
              <w:top w:val="single" w:sz="12" w:space="0" w:color="auto"/>
              <w:left w:val="single" w:sz="2" w:space="0" w:color="auto"/>
              <w:bottom w:val="single" w:sz="4" w:space="0" w:color="auto"/>
            </w:tcBorders>
          </w:tcPr>
          <w:p w14:paraId="3EC9EB2B" w14:textId="253AC5FA" w:rsidR="0090707F" w:rsidRPr="00C80F8E" w:rsidRDefault="001C2CAA"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21,420,382.</w:t>
            </w:r>
            <w:r w:rsidR="00252F8B" w:rsidRPr="00C80F8E">
              <w:rPr>
                <w:rFonts w:ascii="Abadi" w:hAnsi="Abadi" w:cstheme="minorHAnsi"/>
                <w:b/>
                <w:bCs/>
                <w:sz w:val="20"/>
                <w:szCs w:val="20"/>
                <w:lang w:val="es-ES_tradnl"/>
              </w:rPr>
              <w:t>00</w:t>
            </w:r>
          </w:p>
        </w:tc>
      </w:tr>
      <w:tr w:rsidR="0090707F" w:rsidRPr="00C80F8E" w14:paraId="31DEF9D6" w14:textId="77777777" w:rsidTr="00C262BD">
        <w:trPr>
          <w:trHeight w:val="274"/>
        </w:trPr>
        <w:tc>
          <w:tcPr>
            <w:tcW w:w="4867" w:type="dxa"/>
          </w:tcPr>
          <w:p w14:paraId="0270A0DD" w14:textId="77777777" w:rsidR="0090707F" w:rsidRPr="00C80F8E" w:rsidRDefault="0090707F"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Depreciación</w:t>
            </w:r>
          </w:p>
        </w:tc>
        <w:tc>
          <w:tcPr>
            <w:tcW w:w="2257" w:type="dxa"/>
            <w:tcBorders>
              <w:top w:val="single" w:sz="2" w:space="0" w:color="auto"/>
              <w:bottom w:val="single" w:sz="12" w:space="0" w:color="auto"/>
            </w:tcBorders>
          </w:tcPr>
          <w:p w14:paraId="35D7E21A" w14:textId="05C73AFA" w:rsidR="0090707F" w:rsidRPr="00C80F8E" w:rsidRDefault="009D7B7E" w:rsidP="00DB69D9">
            <w:pPr>
              <w:jc w:val="right"/>
              <w:rPr>
                <w:rFonts w:ascii="Abadi" w:hAnsi="Abadi" w:cstheme="minorHAnsi"/>
                <w:sz w:val="20"/>
                <w:szCs w:val="20"/>
                <w:lang w:val="es-ES_tradnl"/>
              </w:rPr>
            </w:pPr>
            <w:r w:rsidRPr="00C80F8E">
              <w:rPr>
                <w:rFonts w:ascii="Abadi" w:hAnsi="Abadi" w:cstheme="minorHAnsi"/>
                <w:sz w:val="20"/>
                <w:szCs w:val="20"/>
                <w:lang w:val="es-ES_tradnl"/>
              </w:rPr>
              <w:t>(</w:t>
            </w:r>
            <w:r w:rsidR="00996B19" w:rsidRPr="00C80F8E">
              <w:rPr>
                <w:rFonts w:ascii="Abadi" w:hAnsi="Abadi" w:cstheme="minorHAnsi"/>
                <w:sz w:val="20"/>
                <w:szCs w:val="20"/>
                <w:lang w:val="es-ES_tradnl"/>
              </w:rPr>
              <w:t>17,062,351.</w:t>
            </w:r>
            <w:r w:rsidR="009B33EA">
              <w:rPr>
                <w:rFonts w:ascii="Abadi" w:hAnsi="Abadi" w:cstheme="minorHAnsi"/>
                <w:sz w:val="20"/>
                <w:szCs w:val="20"/>
                <w:lang w:val="es-ES_tradnl"/>
              </w:rPr>
              <w:t>0</w:t>
            </w:r>
            <w:r w:rsidR="00996B19" w:rsidRPr="00C80F8E">
              <w:rPr>
                <w:rFonts w:ascii="Abadi" w:hAnsi="Abadi" w:cstheme="minorHAnsi"/>
                <w:sz w:val="20"/>
                <w:szCs w:val="20"/>
                <w:lang w:val="es-ES_tradnl"/>
              </w:rPr>
              <w:t>2)</w:t>
            </w:r>
          </w:p>
        </w:tc>
        <w:tc>
          <w:tcPr>
            <w:tcW w:w="2114" w:type="dxa"/>
            <w:tcBorders>
              <w:bottom w:val="single" w:sz="12" w:space="0" w:color="auto"/>
            </w:tcBorders>
          </w:tcPr>
          <w:p w14:paraId="3609D28B" w14:textId="4607484C" w:rsidR="0090707F" w:rsidRPr="00C80F8E" w:rsidRDefault="003834D1" w:rsidP="00DB69D9">
            <w:pPr>
              <w:jc w:val="right"/>
              <w:rPr>
                <w:rFonts w:ascii="Abadi" w:hAnsi="Abadi" w:cstheme="minorHAnsi"/>
                <w:sz w:val="20"/>
                <w:szCs w:val="20"/>
                <w:lang w:val="es-ES_tradnl"/>
              </w:rPr>
            </w:pPr>
            <w:r w:rsidRPr="00C80F8E">
              <w:rPr>
                <w:rFonts w:ascii="Abadi" w:hAnsi="Abadi" w:cstheme="minorHAnsi"/>
                <w:sz w:val="20"/>
                <w:szCs w:val="20"/>
                <w:lang w:val="es-ES_tradnl"/>
              </w:rPr>
              <w:t>(</w:t>
            </w:r>
            <w:r w:rsidR="008F41D5" w:rsidRPr="00C80F8E">
              <w:rPr>
                <w:rFonts w:ascii="Abadi" w:hAnsi="Abadi" w:cstheme="minorHAnsi"/>
                <w:sz w:val="20"/>
                <w:szCs w:val="20"/>
                <w:lang w:val="es-ES_tradnl"/>
              </w:rPr>
              <w:t>16,033,252.84</w:t>
            </w:r>
            <w:r w:rsidRPr="00C80F8E">
              <w:rPr>
                <w:rFonts w:ascii="Abadi" w:hAnsi="Abadi" w:cstheme="minorHAnsi"/>
                <w:sz w:val="20"/>
                <w:szCs w:val="20"/>
                <w:lang w:val="es-ES_tradnl"/>
              </w:rPr>
              <w:t>)</w:t>
            </w:r>
          </w:p>
        </w:tc>
      </w:tr>
      <w:tr w:rsidR="0090707F" w:rsidRPr="00C80F8E" w14:paraId="57987A4A" w14:textId="77777777" w:rsidTr="00C262BD">
        <w:trPr>
          <w:trHeight w:val="258"/>
        </w:trPr>
        <w:tc>
          <w:tcPr>
            <w:tcW w:w="4867" w:type="dxa"/>
          </w:tcPr>
          <w:p w14:paraId="52234A54" w14:textId="3434D8DD" w:rsidR="0090707F" w:rsidRPr="00C80F8E" w:rsidRDefault="0090707F" w:rsidP="00DB69D9">
            <w:pPr>
              <w:jc w:val="both"/>
              <w:rPr>
                <w:rFonts w:ascii="Abadi" w:hAnsi="Abadi" w:cstheme="minorHAnsi"/>
                <w:b/>
                <w:bCs/>
                <w:sz w:val="20"/>
                <w:szCs w:val="20"/>
                <w:lang w:val="es-ES_tradnl"/>
              </w:rPr>
            </w:pPr>
            <w:r w:rsidRPr="00C80F8E">
              <w:rPr>
                <w:rFonts w:ascii="Abadi" w:hAnsi="Abadi" w:cstheme="minorHAnsi"/>
                <w:b/>
                <w:bCs/>
                <w:sz w:val="20"/>
                <w:szCs w:val="20"/>
                <w:lang w:val="es-ES_tradnl"/>
              </w:rPr>
              <w:t xml:space="preserve">Total, de </w:t>
            </w:r>
            <w:r w:rsidR="00782091" w:rsidRPr="00C80F8E">
              <w:rPr>
                <w:rFonts w:ascii="Abadi" w:hAnsi="Abadi" w:cstheme="minorHAnsi"/>
                <w:b/>
                <w:sz w:val="20"/>
                <w:szCs w:val="20"/>
                <w:lang w:val="es-ES_tradnl"/>
              </w:rPr>
              <w:t>Mobiliarios y Equipos Oficinas</w:t>
            </w:r>
          </w:p>
        </w:tc>
        <w:tc>
          <w:tcPr>
            <w:tcW w:w="2257" w:type="dxa"/>
            <w:tcBorders>
              <w:top w:val="single" w:sz="12" w:space="0" w:color="auto"/>
              <w:bottom w:val="double" w:sz="4" w:space="0" w:color="auto"/>
            </w:tcBorders>
          </w:tcPr>
          <w:p w14:paraId="2EE74C36" w14:textId="363D6E5A" w:rsidR="0090707F" w:rsidRPr="00C80F8E" w:rsidRDefault="003C6706" w:rsidP="009D71C0">
            <w:pPr>
              <w:jc w:val="right"/>
              <w:rPr>
                <w:rFonts w:ascii="Abadi" w:hAnsi="Abadi" w:cstheme="minorHAnsi"/>
                <w:b/>
                <w:bCs/>
                <w:sz w:val="20"/>
                <w:szCs w:val="20"/>
                <w:lang w:val="es-ES_tradnl"/>
              </w:rPr>
            </w:pPr>
            <w:r w:rsidRPr="00C80F8E">
              <w:rPr>
                <w:rFonts w:ascii="Abadi" w:hAnsi="Abadi" w:cstheme="minorHAnsi"/>
                <w:b/>
                <w:bCs/>
                <w:sz w:val="20"/>
                <w:szCs w:val="20"/>
                <w:lang w:val="es-ES_tradnl"/>
              </w:rPr>
              <w:t>5,161,21</w:t>
            </w:r>
            <w:r w:rsidR="00F57369">
              <w:rPr>
                <w:rFonts w:ascii="Abadi" w:hAnsi="Abadi" w:cstheme="minorHAnsi"/>
                <w:b/>
                <w:bCs/>
                <w:sz w:val="20"/>
                <w:szCs w:val="20"/>
                <w:lang w:val="es-ES_tradnl"/>
              </w:rPr>
              <w:t>5</w:t>
            </w:r>
            <w:r w:rsidR="008D59E6" w:rsidRPr="00C80F8E">
              <w:rPr>
                <w:rFonts w:ascii="Abadi" w:hAnsi="Abadi" w:cstheme="minorHAnsi"/>
                <w:b/>
                <w:bCs/>
                <w:sz w:val="20"/>
                <w:szCs w:val="20"/>
                <w:lang w:val="es-ES_tradnl"/>
              </w:rPr>
              <w:t>.</w:t>
            </w:r>
            <w:r w:rsidR="00F57369">
              <w:rPr>
                <w:rFonts w:ascii="Abadi" w:hAnsi="Abadi" w:cstheme="minorHAnsi"/>
                <w:b/>
                <w:bCs/>
                <w:sz w:val="20"/>
                <w:szCs w:val="20"/>
                <w:lang w:val="es-ES_tradnl"/>
              </w:rPr>
              <w:t>3</w:t>
            </w:r>
            <w:r w:rsidR="008D59E6" w:rsidRPr="00C80F8E">
              <w:rPr>
                <w:rFonts w:ascii="Abadi" w:hAnsi="Abadi" w:cstheme="minorHAnsi"/>
                <w:b/>
                <w:bCs/>
                <w:sz w:val="20"/>
                <w:szCs w:val="20"/>
                <w:lang w:val="es-ES_tradnl"/>
              </w:rPr>
              <w:t>4</w:t>
            </w:r>
          </w:p>
        </w:tc>
        <w:tc>
          <w:tcPr>
            <w:tcW w:w="2114" w:type="dxa"/>
            <w:tcBorders>
              <w:top w:val="single" w:sz="12" w:space="0" w:color="auto"/>
              <w:bottom w:val="double" w:sz="4" w:space="0" w:color="auto"/>
            </w:tcBorders>
          </w:tcPr>
          <w:p w14:paraId="7A638955" w14:textId="5A34C345" w:rsidR="0090707F" w:rsidRPr="00C80F8E" w:rsidRDefault="008F41D5"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5,387,129.</w:t>
            </w:r>
            <w:r w:rsidR="00B935D1" w:rsidRPr="00C80F8E">
              <w:rPr>
                <w:rFonts w:ascii="Abadi" w:hAnsi="Abadi" w:cstheme="minorHAnsi"/>
                <w:b/>
                <w:bCs/>
                <w:sz w:val="20"/>
                <w:szCs w:val="20"/>
                <w:lang w:val="es-ES_tradnl"/>
              </w:rPr>
              <w:t>16</w:t>
            </w:r>
          </w:p>
        </w:tc>
      </w:tr>
    </w:tbl>
    <w:p w14:paraId="2F528F28" w14:textId="77777777" w:rsidR="00F40E54" w:rsidRPr="00C80F8E" w:rsidRDefault="00F40E54" w:rsidP="00BB4C95">
      <w:pPr>
        <w:spacing w:line="240" w:lineRule="auto"/>
        <w:contextualSpacing/>
        <w:jc w:val="both"/>
        <w:rPr>
          <w:rFonts w:ascii="Abadi" w:hAnsi="Abadi" w:cstheme="minorHAnsi"/>
          <w:b/>
          <w:sz w:val="20"/>
          <w:szCs w:val="20"/>
          <w:lang w:val="es-ES_tradnl"/>
        </w:rPr>
      </w:pPr>
    </w:p>
    <w:p w14:paraId="12FD0B4B" w14:textId="313DDD72" w:rsidR="00BA6F26" w:rsidRPr="00C80F8E" w:rsidRDefault="00E55F33" w:rsidP="00BA6F26">
      <w:pPr>
        <w:spacing w:line="360" w:lineRule="auto"/>
        <w:jc w:val="both"/>
        <w:rPr>
          <w:rFonts w:ascii="Abadi" w:hAnsi="Abadi" w:cstheme="minorHAnsi"/>
          <w:b/>
          <w:sz w:val="20"/>
          <w:szCs w:val="20"/>
          <w:lang w:val="es-ES_tradnl"/>
        </w:rPr>
      </w:pPr>
      <w:r w:rsidRPr="00C80F8E">
        <w:rPr>
          <w:rFonts w:ascii="Abadi" w:hAnsi="Abadi" w:cstheme="minorHAnsi"/>
          <w:b/>
          <w:sz w:val="20"/>
          <w:szCs w:val="20"/>
          <w:lang w:val="es-ES_tradnl"/>
        </w:rPr>
        <w:t>1</w:t>
      </w:r>
      <w:r w:rsidR="001B6097" w:rsidRPr="00C80F8E">
        <w:rPr>
          <w:rFonts w:ascii="Abadi" w:hAnsi="Abadi" w:cstheme="minorHAnsi"/>
          <w:b/>
          <w:sz w:val="20"/>
          <w:szCs w:val="20"/>
          <w:lang w:val="es-ES_tradnl"/>
        </w:rPr>
        <w:t>2</w:t>
      </w:r>
      <w:r w:rsidRPr="00C80F8E">
        <w:rPr>
          <w:rFonts w:ascii="Abadi" w:hAnsi="Abadi" w:cstheme="minorHAnsi"/>
          <w:b/>
          <w:sz w:val="20"/>
          <w:szCs w:val="20"/>
          <w:lang w:val="es-ES_tradnl"/>
        </w:rPr>
        <w:t xml:space="preserve">.5 </w:t>
      </w:r>
      <w:r w:rsidR="00BA6F26" w:rsidRPr="00C80F8E">
        <w:rPr>
          <w:rFonts w:ascii="Abadi" w:hAnsi="Abadi" w:cstheme="minorHAnsi"/>
          <w:b/>
          <w:sz w:val="20"/>
          <w:szCs w:val="20"/>
          <w:lang w:val="es-ES_tradnl"/>
        </w:rPr>
        <w:t>Equipos de Cómputos</w:t>
      </w:r>
    </w:p>
    <w:p w14:paraId="3104E94E" w14:textId="29EF5EAC" w:rsidR="00F672C1" w:rsidRPr="00C80F8E" w:rsidRDefault="00860055" w:rsidP="00860055">
      <w:pPr>
        <w:spacing w:line="276"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Al 30 de junio de 2025, el valor neto en libros de los equipos de cómputo ascendió a RD$16,580,401.67, mientras que al 30 de junio de 2024 era de RD$16,923,140.00. Esta diferencia representa una disminución absoluta de RD$342,738.33 y una variación relativa negativa de 2.03%.</w:t>
      </w:r>
    </w:p>
    <w:tbl>
      <w:tblPr>
        <w:tblStyle w:val="Tablaconcuadrcula"/>
        <w:tblW w:w="0" w:type="auto"/>
        <w:tblInd w:w="66" w:type="dxa"/>
        <w:tblLook w:val="04A0" w:firstRow="1" w:lastRow="0" w:firstColumn="1" w:lastColumn="0" w:noHBand="0" w:noVBand="1"/>
      </w:tblPr>
      <w:tblGrid>
        <w:gridCol w:w="4867"/>
        <w:gridCol w:w="2257"/>
        <w:gridCol w:w="2114"/>
      </w:tblGrid>
      <w:tr w:rsidR="00BA6F26" w:rsidRPr="00C80F8E" w14:paraId="04349C78" w14:textId="77777777" w:rsidTr="00F07000">
        <w:trPr>
          <w:trHeight w:val="258"/>
        </w:trPr>
        <w:tc>
          <w:tcPr>
            <w:tcW w:w="4867" w:type="dxa"/>
            <w:shd w:val="clear" w:color="auto" w:fill="0070C0"/>
          </w:tcPr>
          <w:p w14:paraId="10A6FF4F" w14:textId="77777777" w:rsidR="00BA6F26" w:rsidRPr="00C80F8E" w:rsidRDefault="00BA6F26"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Equipos Cómputos</w:t>
            </w:r>
          </w:p>
        </w:tc>
        <w:tc>
          <w:tcPr>
            <w:tcW w:w="2257" w:type="dxa"/>
            <w:tcBorders>
              <w:bottom w:val="single" w:sz="4" w:space="0" w:color="auto"/>
            </w:tcBorders>
            <w:shd w:val="clear" w:color="auto" w:fill="0070C0"/>
          </w:tcPr>
          <w:p w14:paraId="719D42FA" w14:textId="00859031" w:rsidR="00BA6F26" w:rsidRPr="00C80F8E" w:rsidRDefault="00BA6F26"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2C3099" w:rsidRPr="00C80F8E">
              <w:rPr>
                <w:rFonts w:ascii="Abadi" w:hAnsi="Abadi" w:cstheme="minorHAnsi"/>
                <w:b/>
                <w:bCs/>
                <w:color w:val="FFFFFF" w:themeColor="background1"/>
                <w:sz w:val="20"/>
                <w:szCs w:val="20"/>
                <w:lang w:val="es-ES_tradnl"/>
              </w:rPr>
              <w:t>5</w:t>
            </w:r>
          </w:p>
        </w:tc>
        <w:tc>
          <w:tcPr>
            <w:tcW w:w="2114" w:type="dxa"/>
            <w:tcBorders>
              <w:bottom w:val="single" w:sz="4" w:space="0" w:color="auto"/>
            </w:tcBorders>
            <w:shd w:val="clear" w:color="auto" w:fill="0070C0"/>
          </w:tcPr>
          <w:p w14:paraId="391F6363" w14:textId="61154E9C" w:rsidR="00BA6F26" w:rsidRPr="00C80F8E" w:rsidRDefault="00BA6F26"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2C3099" w:rsidRPr="00C80F8E">
              <w:rPr>
                <w:rFonts w:ascii="Abadi" w:hAnsi="Abadi" w:cstheme="minorHAnsi"/>
                <w:b/>
                <w:bCs/>
                <w:color w:val="FFFFFF" w:themeColor="background1"/>
                <w:sz w:val="20"/>
                <w:szCs w:val="20"/>
                <w:lang w:val="es-ES_tradnl"/>
              </w:rPr>
              <w:t>4</w:t>
            </w:r>
          </w:p>
        </w:tc>
      </w:tr>
      <w:tr w:rsidR="00BA6F26" w:rsidRPr="00C80F8E" w14:paraId="3C7C25D4" w14:textId="77777777" w:rsidTr="003B6F47">
        <w:trPr>
          <w:trHeight w:val="274"/>
        </w:trPr>
        <w:tc>
          <w:tcPr>
            <w:tcW w:w="4867" w:type="dxa"/>
          </w:tcPr>
          <w:p w14:paraId="7163505A" w14:textId="77777777" w:rsidR="00BA6F26" w:rsidRPr="00C80F8E" w:rsidRDefault="00BA6F26" w:rsidP="00DB69D9">
            <w:pPr>
              <w:jc w:val="both"/>
              <w:rPr>
                <w:rFonts w:ascii="Abadi" w:hAnsi="Abadi" w:cstheme="minorHAnsi"/>
                <w:sz w:val="20"/>
                <w:szCs w:val="20"/>
                <w:lang w:val="es-ES_tradnl"/>
              </w:rPr>
            </w:pPr>
            <w:r w:rsidRPr="00C80F8E">
              <w:rPr>
                <w:rFonts w:ascii="Abadi" w:hAnsi="Abadi" w:cstheme="minorHAnsi"/>
                <w:bCs/>
                <w:sz w:val="20"/>
                <w:szCs w:val="20"/>
                <w:lang w:val="es-ES_tradnl"/>
              </w:rPr>
              <w:t>Equipos Cómputos</w:t>
            </w:r>
          </w:p>
        </w:tc>
        <w:tc>
          <w:tcPr>
            <w:tcW w:w="2257" w:type="dxa"/>
            <w:tcBorders>
              <w:bottom w:val="single" w:sz="4" w:space="0" w:color="auto"/>
            </w:tcBorders>
            <w:vAlign w:val="bottom"/>
          </w:tcPr>
          <w:p w14:paraId="0A0E85B5" w14:textId="00B68E19" w:rsidR="00BA6F26" w:rsidRPr="00C80F8E" w:rsidRDefault="002F693B" w:rsidP="00DB69D9">
            <w:pPr>
              <w:jc w:val="right"/>
              <w:rPr>
                <w:rFonts w:ascii="Abadi" w:hAnsi="Abadi" w:cstheme="minorHAnsi"/>
                <w:sz w:val="20"/>
                <w:szCs w:val="20"/>
                <w:lang w:val="es-ES_tradnl"/>
              </w:rPr>
            </w:pPr>
            <w:r>
              <w:rPr>
                <w:rFonts w:ascii="Abadi" w:hAnsi="Abadi" w:cstheme="minorHAnsi"/>
                <w:sz w:val="20"/>
                <w:szCs w:val="20"/>
                <w:lang w:val="es-ES_tradnl"/>
              </w:rPr>
              <w:t>34</w:t>
            </w:r>
            <w:r w:rsidR="00A175A8">
              <w:rPr>
                <w:rFonts w:ascii="Abadi" w:hAnsi="Abadi" w:cstheme="minorHAnsi"/>
                <w:sz w:val="20"/>
                <w:szCs w:val="20"/>
                <w:lang w:val="es-ES_tradnl"/>
              </w:rPr>
              <w:t>,804,986.70</w:t>
            </w:r>
          </w:p>
        </w:tc>
        <w:tc>
          <w:tcPr>
            <w:tcW w:w="2114" w:type="dxa"/>
            <w:tcBorders>
              <w:bottom w:val="single" w:sz="4" w:space="0" w:color="auto"/>
            </w:tcBorders>
            <w:vAlign w:val="bottom"/>
          </w:tcPr>
          <w:p w14:paraId="6A2C31B7" w14:textId="5EF3678A" w:rsidR="00BA6F26" w:rsidRPr="00C80F8E" w:rsidRDefault="003B6F47" w:rsidP="00DB69D9">
            <w:pPr>
              <w:jc w:val="right"/>
              <w:rPr>
                <w:rFonts w:ascii="Abadi" w:hAnsi="Abadi" w:cstheme="minorHAnsi"/>
                <w:sz w:val="20"/>
                <w:szCs w:val="20"/>
                <w:lang w:val="es-ES_tradnl"/>
              </w:rPr>
            </w:pPr>
            <w:r w:rsidRPr="00C80F8E">
              <w:rPr>
                <w:rFonts w:ascii="Abadi" w:hAnsi="Abadi" w:cstheme="minorHAnsi"/>
                <w:sz w:val="20"/>
                <w:szCs w:val="20"/>
                <w:lang w:val="es-ES_tradnl"/>
              </w:rPr>
              <w:t>29,111,709.99</w:t>
            </w:r>
          </w:p>
        </w:tc>
      </w:tr>
      <w:tr w:rsidR="00FC2043" w:rsidRPr="00C80F8E" w14:paraId="03973565" w14:textId="77777777" w:rsidTr="003B6F47">
        <w:trPr>
          <w:trHeight w:val="274"/>
        </w:trPr>
        <w:tc>
          <w:tcPr>
            <w:tcW w:w="4867" w:type="dxa"/>
          </w:tcPr>
          <w:p w14:paraId="0290A9B3" w14:textId="5356F5FC" w:rsidR="00FC2043" w:rsidRPr="00C80F8E" w:rsidRDefault="00FC2043"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Adiciones</w:t>
            </w:r>
          </w:p>
        </w:tc>
        <w:tc>
          <w:tcPr>
            <w:tcW w:w="2257" w:type="dxa"/>
            <w:tcBorders>
              <w:bottom w:val="single" w:sz="4" w:space="0" w:color="auto"/>
            </w:tcBorders>
            <w:vAlign w:val="bottom"/>
          </w:tcPr>
          <w:p w14:paraId="02CAE73C" w14:textId="4273CB73" w:rsidR="00FC2043" w:rsidRPr="00C80F8E" w:rsidRDefault="00A175A8" w:rsidP="00DB69D9">
            <w:pPr>
              <w:jc w:val="right"/>
              <w:rPr>
                <w:rFonts w:ascii="Abadi" w:hAnsi="Abadi" w:cstheme="minorHAnsi"/>
                <w:sz w:val="20"/>
                <w:szCs w:val="20"/>
                <w:lang w:val="es-ES_tradnl"/>
              </w:rPr>
            </w:pPr>
            <w:r>
              <w:rPr>
                <w:rFonts w:ascii="Abadi" w:hAnsi="Abadi" w:cstheme="minorHAnsi"/>
                <w:sz w:val="20"/>
                <w:szCs w:val="20"/>
                <w:lang w:val="es-ES_tradnl"/>
              </w:rPr>
              <w:t>6,523,748.14</w:t>
            </w:r>
          </w:p>
        </w:tc>
        <w:tc>
          <w:tcPr>
            <w:tcW w:w="2114" w:type="dxa"/>
            <w:tcBorders>
              <w:bottom w:val="single" w:sz="4" w:space="0" w:color="auto"/>
            </w:tcBorders>
            <w:vAlign w:val="bottom"/>
          </w:tcPr>
          <w:p w14:paraId="3D15ACE9" w14:textId="343F6056" w:rsidR="00D06CC6" w:rsidRPr="00C80F8E" w:rsidRDefault="003B6F47" w:rsidP="00D06CC6">
            <w:pPr>
              <w:jc w:val="right"/>
              <w:rPr>
                <w:rFonts w:ascii="Abadi" w:hAnsi="Abadi" w:cstheme="minorHAnsi"/>
                <w:sz w:val="20"/>
                <w:szCs w:val="20"/>
                <w:lang w:val="es-ES_tradnl"/>
              </w:rPr>
            </w:pPr>
            <w:r w:rsidRPr="00C80F8E">
              <w:rPr>
                <w:rFonts w:ascii="Abadi" w:hAnsi="Abadi" w:cstheme="minorHAnsi"/>
                <w:sz w:val="20"/>
                <w:szCs w:val="20"/>
                <w:lang w:val="es-ES_tradnl"/>
              </w:rPr>
              <w:t>4,816,819.97</w:t>
            </w:r>
          </w:p>
        </w:tc>
      </w:tr>
      <w:tr w:rsidR="00FC2043" w:rsidRPr="00C80F8E" w14:paraId="5369E41F" w14:textId="77777777" w:rsidTr="003B6F47">
        <w:trPr>
          <w:trHeight w:val="274"/>
        </w:trPr>
        <w:tc>
          <w:tcPr>
            <w:tcW w:w="4867" w:type="dxa"/>
          </w:tcPr>
          <w:p w14:paraId="193CF8D3" w14:textId="4CF337CA" w:rsidR="00FC2043" w:rsidRPr="00C80F8E" w:rsidRDefault="00FC2043"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Retiros</w:t>
            </w:r>
          </w:p>
        </w:tc>
        <w:tc>
          <w:tcPr>
            <w:tcW w:w="2257" w:type="dxa"/>
            <w:tcBorders>
              <w:bottom w:val="single" w:sz="4" w:space="0" w:color="auto"/>
            </w:tcBorders>
            <w:vAlign w:val="bottom"/>
          </w:tcPr>
          <w:p w14:paraId="53227D16" w14:textId="60D84F8C" w:rsidR="00FC2043" w:rsidRPr="00C80F8E" w:rsidRDefault="00D27C6A"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14" w:type="dxa"/>
            <w:tcBorders>
              <w:bottom w:val="single" w:sz="4" w:space="0" w:color="auto"/>
            </w:tcBorders>
            <w:vAlign w:val="bottom"/>
          </w:tcPr>
          <w:p w14:paraId="6D2584F0" w14:textId="033D0657" w:rsidR="00FC2043" w:rsidRPr="00C80F8E" w:rsidRDefault="00B57DCC"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76095B" w:rsidRPr="00C80F8E" w14:paraId="0C31622C" w14:textId="77777777" w:rsidTr="003B6F47">
        <w:trPr>
          <w:trHeight w:val="274"/>
        </w:trPr>
        <w:tc>
          <w:tcPr>
            <w:tcW w:w="4867" w:type="dxa"/>
          </w:tcPr>
          <w:p w14:paraId="00B3CC85" w14:textId="7EB20A32" w:rsidR="0076095B" w:rsidRPr="00C80F8E" w:rsidRDefault="0076095B"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Otros</w:t>
            </w:r>
          </w:p>
        </w:tc>
        <w:tc>
          <w:tcPr>
            <w:tcW w:w="2257" w:type="dxa"/>
            <w:tcBorders>
              <w:bottom w:val="single" w:sz="4" w:space="0" w:color="auto"/>
            </w:tcBorders>
            <w:vAlign w:val="bottom"/>
          </w:tcPr>
          <w:p w14:paraId="0CB9BC26" w14:textId="0834873A" w:rsidR="0076095B" w:rsidRPr="00C80F8E" w:rsidRDefault="0076095B" w:rsidP="00DB69D9">
            <w:pPr>
              <w:jc w:val="right"/>
              <w:rPr>
                <w:rFonts w:ascii="Abadi" w:hAnsi="Abadi" w:cstheme="minorHAnsi"/>
                <w:sz w:val="20"/>
                <w:szCs w:val="20"/>
                <w:lang w:val="es-ES_tradnl"/>
              </w:rPr>
            </w:pPr>
            <w:r w:rsidRPr="00C80F8E">
              <w:rPr>
                <w:rFonts w:ascii="Abadi" w:hAnsi="Abadi" w:cstheme="minorHAnsi"/>
                <w:sz w:val="20"/>
                <w:szCs w:val="20"/>
                <w:lang w:val="es-ES_tradnl"/>
              </w:rPr>
              <w:t>0.</w:t>
            </w:r>
            <w:r w:rsidR="004B6FF5">
              <w:rPr>
                <w:rFonts w:ascii="Abadi" w:hAnsi="Abadi" w:cstheme="minorHAnsi"/>
                <w:sz w:val="20"/>
                <w:szCs w:val="20"/>
                <w:lang w:val="es-ES_tradnl"/>
              </w:rPr>
              <w:t>00</w:t>
            </w:r>
          </w:p>
        </w:tc>
        <w:tc>
          <w:tcPr>
            <w:tcW w:w="2114" w:type="dxa"/>
            <w:tcBorders>
              <w:bottom w:val="single" w:sz="4" w:space="0" w:color="auto"/>
            </w:tcBorders>
            <w:vAlign w:val="bottom"/>
          </w:tcPr>
          <w:p w14:paraId="4C73A944" w14:textId="07A75FE3" w:rsidR="0076095B" w:rsidRPr="00C80F8E" w:rsidRDefault="0076095B"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BA6F26" w:rsidRPr="00C80F8E" w14:paraId="15D5F5CA" w14:textId="77777777" w:rsidTr="003B6F47">
        <w:trPr>
          <w:trHeight w:val="258"/>
        </w:trPr>
        <w:tc>
          <w:tcPr>
            <w:tcW w:w="4867" w:type="dxa"/>
            <w:tcBorders>
              <w:right w:val="single" w:sz="2" w:space="0" w:color="auto"/>
            </w:tcBorders>
          </w:tcPr>
          <w:p w14:paraId="01C40286" w14:textId="77777777" w:rsidR="00BA6F26" w:rsidRPr="00C80F8E" w:rsidRDefault="00BA6F26" w:rsidP="00DB69D9">
            <w:p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Total, </w:t>
            </w:r>
          </w:p>
        </w:tc>
        <w:tc>
          <w:tcPr>
            <w:tcW w:w="2257" w:type="dxa"/>
            <w:tcBorders>
              <w:top w:val="single" w:sz="12" w:space="0" w:color="auto"/>
              <w:left w:val="single" w:sz="2" w:space="0" w:color="auto"/>
              <w:bottom w:val="single" w:sz="2" w:space="0" w:color="auto"/>
              <w:right w:val="single" w:sz="2" w:space="0" w:color="auto"/>
            </w:tcBorders>
            <w:vAlign w:val="bottom"/>
          </w:tcPr>
          <w:p w14:paraId="57A16D40" w14:textId="7D7CC539" w:rsidR="00BA6F26" w:rsidRPr="00C80F8E" w:rsidRDefault="00D27C6A"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41</w:t>
            </w:r>
            <w:r w:rsidR="00211AF5" w:rsidRPr="00C80F8E">
              <w:rPr>
                <w:rFonts w:ascii="Abadi" w:hAnsi="Abadi" w:cstheme="minorHAnsi"/>
                <w:b/>
                <w:bCs/>
                <w:sz w:val="20"/>
                <w:szCs w:val="20"/>
                <w:lang w:val="es-ES_tradnl"/>
              </w:rPr>
              <w:t>,</w:t>
            </w:r>
            <w:r w:rsidRPr="00C80F8E">
              <w:rPr>
                <w:rFonts w:ascii="Abadi" w:hAnsi="Abadi" w:cstheme="minorHAnsi"/>
                <w:b/>
                <w:bCs/>
                <w:sz w:val="20"/>
                <w:szCs w:val="20"/>
                <w:lang w:val="es-ES_tradnl"/>
              </w:rPr>
              <w:t>328</w:t>
            </w:r>
            <w:r w:rsidR="00211AF5" w:rsidRPr="00C80F8E">
              <w:rPr>
                <w:rFonts w:ascii="Abadi" w:hAnsi="Abadi" w:cstheme="minorHAnsi"/>
                <w:b/>
                <w:bCs/>
                <w:sz w:val="20"/>
                <w:szCs w:val="20"/>
                <w:lang w:val="es-ES_tradnl"/>
              </w:rPr>
              <w:t>,</w:t>
            </w:r>
            <w:r w:rsidRPr="00C80F8E">
              <w:rPr>
                <w:rFonts w:ascii="Abadi" w:hAnsi="Abadi" w:cstheme="minorHAnsi"/>
                <w:b/>
                <w:bCs/>
                <w:sz w:val="20"/>
                <w:szCs w:val="20"/>
                <w:lang w:val="es-ES_tradnl"/>
              </w:rPr>
              <w:t>734.</w:t>
            </w:r>
            <w:r w:rsidR="00BD0A26">
              <w:rPr>
                <w:rFonts w:ascii="Abadi" w:hAnsi="Abadi" w:cstheme="minorHAnsi"/>
                <w:b/>
                <w:bCs/>
                <w:sz w:val="20"/>
                <w:szCs w:val="20"/>
                <w:lang w:val="es-ES_tradnl"/>
              </w:rPr>
              <w:t>84</w:t>
            </w:r>
          </w:p>
        </w:tc>
        <w:tc>
          <w:tcPr>
            <w:tcW w:w="2114" w:type="dxa"/>
            <w:tcBorders>
              <w:top w:val="single" w:sz="12" w:space="0" w:color="auto"/>
              <w:left w:val="single" w:sz="2" w:space="0" w:color="auto"/>
              <w:bottom w:val="single" w:sz="4" w:space="0" w:color="auto"/>
            </w:tcBorders>
            <w:vAlign w:val="bottom"/>
          </w:tcPr>
          <w:p w14:paraId="66E90E49" w14:textId="7874C4B2" w:rsidR="00BA6F26" w:rsidRPr="00C80F8E" w:rsidRDefault="00B57DCC"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33,928,529.96</w:t>
            </w:r>
          </w:p>
        </w:tc>
      </w:tr>
      <w:tr w:rsidR="00BA6F26" w:rsidRPr="00C80F8E" w14:paraId="42661957" w14:textId="77777777" w:rsidTr="003B6F47">
        <w:trPr>
          <w:trHeight w:val="274"/>
        </w:trPr>
        <w:tc>
          <w:tcPr>
            <w:tcW w:w="4867" w:type="dxa"/>
          </w:tcPr>
          <w:p w14:paraId="4C43161B" w14:textId="77777777" w:rsidR="00BA6F26" w:rsidRPr="00C80F8E" w:rsidRDefault="00BA6F26"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Depreciación</w:t>
            </w:r>
          </w:p>
        </w:tc>
        <w:tc>
          <w:tcPr>
            <w:tcW w:w="2257" w:type="dxa"/>
            <w:tcBorders>
              <w:top w:val="single" w:sz="2" w:space="0" w:color="auto"/>
              <w:bottom w:val="single" w:sz="12" w:space="0" w:color="auto"/>
            </w:tcBorders>
            <w:vAlign w:val="bottom"/>
          </w:tcPr>
          <w:p w14:paraId="44B3EDD7" w14:textId="7D2284B5" w:rsidR="00BA6F26" w:rsidRPr="00C80F8E" w:rsidRDefault="002A79BD" w:rsidP="00DB69D9">
            <w:pPr>
              <w:jc w:val="right"/>
              <w:rPr>
                <w:rFonts w:ascii="Abadi" w:hAnsi="Abadi" w:cstheme="minorHAnsi"/>
                <w:sz w:val="20"/>
                <w:szCs w:val="20"/>
                <w:lang w:val="es-ES_tradnl"/>
              </w:rPr>
            </w:pPr>
            <w:r w:rsidRPr="00C80F8E">
              <w:rPr>
                <w:rFonts w:ascii="Abadi" w:hAnsi="Abadi" w:cstheme="minorHAnsi"/>
                <w:sz w:val="20"/>
                <w:szCs w:val="20"/>
                <w:lang w:val="es-ES_tradnl"/>
              </w:rPr>
              <w:t>(</w:t>
            </w:r>
            <w:r w:rsidR="00E36D17" w:rsidRPr="00C80F8E">
              <w:rPr>
                <w:rFonts w:ascii="Abadi" w:hAnsi="Abadi" w:cstheme="minorHAnsi"/>
                <w:sz w:val="20"/>
                <w:szCs w:val="20"/>
                <w:lang w:val="es-ES_tradnl"/>
              </w:rPr>
              <w:t>24</w:t>
            </w:r>
            <w:r w:rsidR="00653CC2" w:rsidRPr="00C80F8E">
              <w:rPr>
                <w:rFonts w:ascii="Abadi" w:hAnsi="Abadi" w:cstheme="minorHAnsi"/>
                <w:sz w:val="20"/>
                <w:szCs w:val="20"/>
                <w:lang w:val="es-ES_tradnl"/>
              </w:rPr>
              <w:t>,748,332.64)</w:t>
            </w:r>
          </w:p>
        </w:tc>
        <w:tc>
          <w:tcPr>
            <w:tcW w:w="2114" w:type="dxa"/>
            <w:tcBorders>
              <w:bottom w:val="single" w:sz="12" w:space="0" w:color="auto"/>
            </w:tcBorders>
            <w:vAlign w:val="bottom"/>
          </w:tcPr>
          <w:p w14:paraId="45B81763" w14:textId="166342EA" w:rsidR="00BA6F26" w:rsidRPr="00C80F8E" w:rsidRDefault="00B57DCC" w:rsidP="00DB69D9">
            <w:pPr>
              <w:jc w:val="right"/>
              <w:rPr>
                <w:rFonts w:ascii="Abadi" w:hAnsi="Abadi" w:cstheme="minorHAnsi"/>
                <w:sz w:val="20"/>
                <w:szCs w:val="20"/>
                <w:lang w:val="es-ES_tradnl"/>
              </w:rPr>
            </w:pPr>
            <w:r w:rsidRPr="00C80F8E">
              <w:rPr>
                <w:rFonts w:ascii="Abadi" w:hAnsi="Abadi" w:cstheme="minorHAnsi"/>
                <w:sz w:val="20"/>
                <w:szCs w:val="20"/>
                <w:lang w:val="es-ES_tradnl"/>
              </w:rPr>
              <w:t>(17,005,389.96)</w:t>
            </w:r>
          </w:p>
        </w:tc>
      </w:tr>
      <w:tr w:rsidR="00BA6F26" w:rsidRPr="00C80F8E" w14:paraId="7A9F389C" w14:textId="77777777" w:rsidTr="003B6F47">
        <w:trPr>
          <w:trHeight w:val="258"/>
        </w:trPr>
        <w:tc>
          <w:tcPr>
            <w:tcW w:w="4867" w:type="dxa"/>
          </w:tcPr>
          <w:p w14:paraId="61E6F96B" w14:textId="77777777" w:rsidR="00BA6F26" w:rsidRPr="00C80F8E" w:rsidRDefault="00BA6F26" w:rsidP="00DB69D9">
            <w:pPr>
              <w:jc w:val="both"/>
              <w:rPr>
                <w:rFonts w:ascii="Abadi" w:hAnsi="Abadi" w:cstheme="minorHAnsi"/>
                <w:b/>
                <w:bCs/>
                <w:sz w:val="20"/>
                <w:szCs w:val="20"/>
                <w:lang w:val="es-ES_tradnl"/>
              </w:rPr>
            </w:pPr>
            <w:r w:rsidRPr="00C80F8E">
              <w:rPr>
                <w:rFonts w:ascii="Abadi" w:hAnsi="Abadi" w:cstheme="minorHAnsi"/>
                <w:b/>
                <w:bCs/>
                <w:sz w:val="20"/>
                <w:szCs w:val="20"/>
                <w:lang w:val="es-ES_tradnl"/>
              </w:rPr>
              <w:t>Total, Equipos Cómputos</w:t>
            </w:r>
          </w:p>
        </w:tc>
        <w:tc>
          <w:tcPr>
            <w:tcW w:w="2257" w:type="dxa"/>
            <w:tcBorders>
              <w:top w:val="single" w:sz="12" w:space="0" w:color="auto"/>
              <w:bottom w:val="double" w:sz="4" w:space="0" w:color="auto"/>
            </w:tcBorders>
            <w:vAlign w:val="bottom"/>
          </w:tcPr>
          <w:p w14:paraId="74FB5D67" w14:textId="7E77FDAB" w:rsidR="00BA6F26" w:rsidRPr="00C80F8E" w:rsidRDefault="004406A8" w:rsidP="009D71C0">
            <w:pPr>
              <w:jc w:val="right"/>
              <w:rPr>
                <w:rFonts w:ascii="Abadi" w:hAnsi="Abadi" w:cstheme="minorHAnsi"/>
                <w:b/>
                <w:bCs/>
                <w:sz w:val="20"/>
                <w:szCs w:val="20"/>
                <w:lang w:val="es-ES_tradnl"/>
              </w:rPr>
            </w:pPr>
            <w:r w:rsidRPr="00C80F8E">
              <w:rPr>
                <w:rFonts w:ascii="Abadi" w:hAnsi="Abadi" w:cstheme="minorHAnsi"/>
                <w:b/>
                <w:bCs/>
                <w:sz w:val="20"/>
                <w:szCs w:val="20"/>
                <w:lang w:val="es-ES_tradnl"/>
              </w:rPr>
              <w:t>16,580,40</w:t>
            </w:r>
            <w:r w:rsidR="00FB60D0">
              <w:rPr>
                <w:rFonts w:ascii="Abadi" w:hAnsi="Abadi" w:cstheme="minorHAnsi"/>
                <w:b/>
                <w:bCs/>
                <w:sz w:val="20"/>
                <w:szCs w:val="20"/>
                <w:lang w:val="es-ES_tradnl"/>
              </w:rPr>
              <w:t>2.20</w:t>
            </w:r>
          </w:p>
        </w:tc>
        <w:tc>
          <w:tcPr>
            <w:tcW w:w="2114" w:type="dxa"/>
            <w:tcBorders>
              <w:top w:val="single" w:sz="12" w:space="0" w:color="auto"/>
              <w:bottom w:val="double" w:sz="4" w:space="0" w:color="auto"/>
            </w:tcBorders>
            <w:vAlign w:val="bottom"/>
          </w:tcPr>
          <w:p w14:paraId="6A3B28F5" w14:textId="292D9F7D" w:rsidR="00BA6F26" w:rsidRPr="00C80F8E" w:rsidRDefault="00FE1F09"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16,923,140.00</w:t>
            </w:r>
          </w:p>
        </w:tc>
      </w:tr>
    </w:tbl>
    <w:p w14:paraId="225E3678" w14:textId="77777777" w:rsidR="0090707F" w:rsidRPr="00C80F8E" w:rsidRDefault="0090707F" w:rsidP="007B3211">
      <w:pPr>
        <w:spacing w:line="240" w:lineRule="auto"/>
        <w:contextualSpacing/>
        <w:jc w:val="both"/>
        <w:rPr>
          <w:rFonts w:ascii="Abadi" w:hAnsi="Abadi" w:cstheme="minorHAnsi"/>
          <w:b/>
          <w:iCs/>
          <w:sz w:val="20"/>
          <w:szCs w:val="20"/>
          <w:lang w:val="es-ES_tradnl"/>
        </w:rPr>
      </w:pPr>
    </w:p>
    <w:p w14:paraId="72C6A62E" w14:textId="1C9C84C6" w:rsidR="001F28F1" w:rsidRPr="00C80F8E" w:rsidRDefault="00E55F33" w:rsidP="001F28F1">
      <w:pPr>
        <w:spacing w:line="360" w:lineRule="auto"/>
        <w:jc w:val="both"/>
        <w:rPr>
          <w:rFonts w:ascii="Abadi" w:hAnsi="Abadi" w:cstheme="minorHAnsi"/>
          <w:b/>
          <w:bCs/>
          <w:sz w:val="20"/>
          <w:szCs w:val="20"/>
          <w:lang w:val="es-ES_tradnl"/>
        </w:rPr>
      </w:pPr>
      <w:r w:rsidRPr="00C80F8E">
        <w:rPr>
          <w:rFonts w:ascii="Abadi" w:hAnsi="Abadi" w:cstheme="minorHAnsi"/>
          <w:b/>
          <w:bCs/>
          <w:sz w:val="20"/>
          <w:szCs w:val="20"/>
          <w:lang w:val="es-ES_tradnl"/>
        </w:rPr>
        <w:t>1</w:t>
      </w:r>
      <w:r w:rsidR="001B6097" w:rsidRPr="00C80F8E">
        <w:rPr>
          <w:rFonts w:ascii="Abadi" w:hAnsi="Abadi" w:cstheme="minorHAnsi"/>
          <w:b/>
          <w:bCs/>
          <w:sz w:val="20"/>
          <w:szCs w:val="20"/>
          <w:lang w:val="es-ES_tradnl"/>
        </w:rPr>
        <w:t>2</w:t>
      </w:r>
      <w:r w:rsidRPr="00C80F8E">
        <w:rPr>
          <w:rFonts w:ascii="Abadi" w:hAnsi="Abadi" w:cstheme="minorHAnsi"/>
          <w:b/>
          <w:bCs/>
          <w:sz w:val="20"/>
          <w:szCs w:val="20"/>
          <w:lang w:val="es-ES_tradnl"/>
        </w:rPr>
        <w:t xml:space="preserve">.6 </w:t>
      </w:r>
      <w:r w:rsidR="001F28F1" w:rsidRPr="00C80F8E">
        <w:rPr>
          <w:rFonts w:ascii="Abadi" w:hAnsi="Abadi" w:cstheme="minorHAnsi"/>
          <w:b/>
          <w:bCs/>
          <w:sz w:val="20"/>
          <w:szCs w:val="20"/>
          <w:lang w:val="es-ES_tradnl"/>
        </w:rPr>
        <w:t>Equipos Varios y Repuestos</w:t>
      </w:r>
    </w:p>
    <w:p w14:paraId="4595CE6B" w14:textId="7A91E142" w:rsidR="003C55B7" w:rsidRPr="00C80F8E" w:rsidRDefault="00E43110" w:rsidP="00E43110">
      <w:pPr>
        <w:spacing w:line="276"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Al 30 de junio de 2025, el valor neto en libros de los equipos varios y repuestos ascendió a RD$11,251,234.61, mientras que al 30 de junio de 2024 era de RD$9,150,364.83. Esta diferencia representa un incremento absoluto de RD$2,100,869.78 y una variación relativa positiva de 22.96%.</w:t>
      </w:r>
    </w:p>
    <w:tbl>
      <w:tblPr>
        <w:tblStyle w:val="Tablaconcuadrcula"/>
        <w:tblW w:w="0" w:type="auto"/>
        <w:tblInd w:w="66" w:type="dxa"/>
        <w:tblLook w:val="04A0" w:firstRow="1" w:lastRow="0" w:firstColumn="1" w:lastColumn="0" w:noHBand="0" w:noVBand="1"/>
      </w:tblPr>
      <w:tblGrid>
        <w:gridCol w:w="4867"/>
        <w:gridCol w:w="2257"/>
        <w:gridCol w:w="2114"/>
      </w:tblGrid>
      <w:tr w:rsidR="001F28F1" w:rsidRPr="00C80F8E" w14:paraId="1A88C54A" w14:textId="77777777" w:rsidTr="00F07000">
        <w:trPr>
          <w:trHeight w:val="258"/>
        </w:trPr>
        <w:tc>
          <w:tcPr>
            <w:tcW w:w="4867" w:type="dxa"/>
            <w:tcBorders>
              <w:bottom w:val="single" w:sz="4" w:space="0" w:color="auto"/>
            </w:tcBorders>
            <w:shd w:val="clear" w:color="auto" w:fill="0070C0"/>
          </w:tcPr>
          <w:p w14:paraId="49E22B32" w14:textId="77777777" w:rsidR="001F28F1" w:rsidRPr="00C80F8E" w:rsidRDefault="001F28F1"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Equipos Varios y Repuestos</w:t>
            </w:r>
          </w:p>
        </w:tc>
        <w:tc>
          <w:tcPr>
            <w:tcW w:w="2257" w:type="dxa"/>
            <w:tcBorders>
              <w:bottom w:val="single" w:sz="4" w:space="0" w:color="auto"/>
            </w:tcBorders>
            <w:shd w:val="clear" w:color="auto" w:fill="0070C0"/>
          </w:tcPr>
          <w:p w14:paraId="049FFA01" w14:textId="46C68E58" w:rsidR="001F28F1" w:rsidRPr="00C80F8E" w:rsidRDefault="00D8003E" w:rsidP="00DB69D9">
            <w:pPr>
              <w:jc w:val="center"/>
              <w:rPr>
                <w:rFonts w:ascii="Abadi" w:hAnsi="Abadi" w:cstheme="minorHAnsi"/>
                <w:b/>
                <w:bCs/>
                <w:color w:val="FFFFFF" w:themeColor="background1"/>
                <w:sz w:val="20"/>
                <w:szCs w:val="20"/>
                <w:lang w:val="es-ES_tradnl"/>
              </w:rPr>
            </w:pPr>
            <w:r>
              <w:rPr>
                <w:rFonts w:ascii="Abadi" w:hAnsi="Abadi" w:cstheme="minorHAnsi"/>
                <w:b/>
                <w:bCs/>
                <w:color w:val="FFFFFF" w:themeColor="background1"/>
                <w:sz w:val="20"/>
                <w:szCs w:val="20"/>
                <w:lang w:val="es-ES_tradnl"/>
              </w:rPr>
              <w:t>2025</w:t>
            </w:r>
          </w:p>
        </w:tc>
        <w:tc>
          <w:tcPr>
            <w:tcW w:w="2114" w:type="dxa"/>
            <w:tcBorders>
              <w:bottom w:val="single" w:sz="2" w:space="0" w:color="auto"/>
            </w:tcBorders>
            <w:shd w:val="clear" w:color="auto" w:fill="0070C0"/>
          </w:tcPr>
          <w:p w14:paraId="0846ADDE" w14:textId="7B9CCF11" w:rsidR="001F28F1" w:rsidRPr="00C80F8E" w:rsidRDefault="001F28F1"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2C58C2" w:rsidRPr="00C80F8E">
              <w:rPr>
                <w:rFonts w:ascii="Abadi" w:hAnsi="Abadi" w:cstheme="minorHAnsi"/>
                <w:b/>
                <w:bCs/>
                <w:color w:val="FFFFFF" w:themeColor="background1"/>
                <w:sz w:val="20"/>
                <w:szCs w:val="20"/>
                <w:lang w:val="es-ES_tradnl"/>
              </w:rPr>
              <w:t>4</w:t>
            </w:r>
          </w:p>
        </w:tc>
      </w:tr>
      <w:tr w:rsidR="003B0711" w:rsidRPr="00C80F8E" w14:paraId="72E5FD85" w14:textId="77777777" w:rsidTr="000D78C5">
        <w:trPr>
          <w:trHeight w:val="274"/>
        </w:trPr>
        <w:tc>
          <w:tcPr>
            <w:tcW w:w="4867" w:type="dxa"/>
            <w:tcBorders>
              <w:top w:val="single" w:sz="4" w:space="0" w:color="auto"/>
              <w:left w:val="single" w:sz="4" w:space="0" w:color="auto"/>
              <w:bottom w:val="single" w:sz="4" w:space="0" w:color="auto"/>
              <w:right w:val="single" w:sz="4" w:space="0" w:color="auto"/>
            </w:tcBorders>
          </w:tcPr>
          <w:p w14:paraId="0C055EBC" w14:textId="77777777" w:rsidR="003B0711" w:rsidRPr="00C80F8E" w:rsidRDefault="003B0711" w:rsidP="003B0711">
            <w:pPr>
              <w:jc w:val="both"/>
              <w:rPr>
                <w:rFonts w:ascii="Abadi" w:hAnsi="Abadi" w:cstheme="minorHAnsi"/>
                <w:sz w:val="20"/>
                <w:szCs w:val="20"/>
                <w:lang w:val="es-ES_tradnl"/>
              </w:rPr>
            </w:pPr>
            <w:r w:rsidRPr="00C80F8E">
              <w:rPr>
                <w:rFonts w:ascii="Abadi" w:hAnsi="Abadi" w:cs="Calibri"/>
                <w:color w:val="000000"/>
                <w:sz w:val="20"/>
                <w:szCs w:val="20"/>
                <w:lang w:val="es-ES_tradnl"/>
              </w:rPr>
              <w:t>Centrales y Aparatos Telefónicos</w:t>
            </w:r>
          </w:p>
        </w:tc>
        <w:tc>
          <w:tcPr>
            <w:tcW w:w="2257" w:type="dxa"/>
            <w:tcBorders>
              <w:top w:val="single" w:sz="4" w:space="0" w:color="auto"/>
              <w:left w:val="single" w:sz="4" w:space="0" w:color="auto"/>
              <w:bottom w:val="single" w:sz="4" w:space="0" w:color="auto"/>
              <w:right w:val="single" w:sz="2" w:space="0" w:color="auto"/>
            </w:tcBorders>
            <w:vAlign w:val="bottom"/>
          </w:tcPr>
          <w:p w14:paraId="45100446" w14:textId="358DAF04" w:rsidR="003B0711" w:rsidRPr="00C80F8E" w:rsidRDefault="00673C3B" w:rsidP="003B0711">
            <w:pPr>
              <w:jc w:val="right"/>
              <w:rPr>
                <w:rFonts w:ascii="Abadi" w:hAnsi="Abadi" w:cstheme="minorHAnsi"/>
                <w:sz w:val="20"/>
                <w:szCs w:val="20"/>
                <w:lang w:val="es-ES_tradnl"/>
              </w:rPr>
            </w:pPr>
            <w:r w:rsidRPr="00C80F8E">
              <w:rPr>
                <w:rFonts w:ascii="Abadi" w:hAnsi="Abadi" w:cstheme="minorHAnsi"/>
                <w:sz w:val="20"/>
                <w:szCs w:val="20"/>
                <w:lang w:val="es-ES_tradnl"/>
              </w:rPr>
              <w:t>509</w:t>
            </w:r>
            <w:r w:rsidR="00C05802" w:rsidRPr="00C80F8E">
              <w:rPr>
                <w:rFonts w:ascii="Abadi" w:hAnsi="Abadi" w:cstheme="minorHAnsi"/>
                <w:sz w:val="20"/>
                <w:szCs w:val="20"/>
                <w:lang w:val="es-ES_tradnl"/>
              </w:rPr>
              <w:t>,</w:t>
            </w:r>
            <w:r w:rsidRPr="00C80F8E">
              <w:rPr>
                <w:rFonts w:ascii="Abadi" w:hAnsi="Abadi" w:cstheme="minorHAnsi"/>
                <w:sz w:val="20"/>
                <w:szCs w:val="20"/>
                <w:lang w:val="es-ES_tradnl"/>
              </w:rPr>
              <w:t>120.28</w:t>
            </w:r>
          </w:p>
        </w:tc>
        <w:tc>
          <w:tcPr>
            <w:tcW w:w="2114" w:type="dxa"/>
            <w:tcBorders>
              <w:top w:val="single" w:sz="2" w:space="0" w:color="auto"/>
              <w:left w:val="single" w:sz="2" w:space="0" w:color="auto"/>
              <w:bottom w:val="single" w:sz="2" w:space="0" w:color="auto"/>
              <w:right w:val="single" w:sz="2" w:space="0" w:color="auto"/>
            </w:tcBorders>
            <w:vAlign w:val="bottom"/>
          </w:tcPr>
          <w:p w14:paraId="1280D131" w14:textId="2D5A80F6" w:rsidR="003B0711" w:rsidRPr="00C80F8E" w:rsidRDefault="00AA602C" w:rsidP="003B0711">
            <w:pPr>
              <w:jc w:val="right"/>
              <w:rPr>
                <w:rFonts w:ascii="Abadi" w:hAnsi="Abadi" w:cstheme="minorHAnsi"/>
                <w:sz w:val="20"/>
                <w:szCs w:val="20"/>
                <w:lang w:val="es-ES_tradnl"/>
              </w:rPr>
            </w:pPr>
            <w:r w:rsidRPr="00C80F8E">
              <w:rPr>
                <w:rFonts w:ascii="Abadi" w:hAnsi="Abadi" w:cstheme="minorHAnsi"/>
                <w:sz w:val="20"/>
                <w:szCs w:val="20"/>
                <w:lang w:val="es-ES_tradnl"/>
              </w:rPr>
              <w:t>509,120.28</w:t>
            </w:r>
          </w:p>
        </w:tc>
      </w:tr>
      <w:tr w:rsidR="003B0711" w:rsidRPr="00C80F8E" w14:paraId="1956555E"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7C3BC469"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Receptoras de Radio</w:t>
            </w:r>
          </w:p>
        </w:tc>
        <w:tc>
          <w:tcPr>
            <w:tcW w:w="2257" w:type="dxa"/>
            <w:tcBorders>
              <w:top w:val="single" w:sz="4" w:space="0" w:color="auto"/>
              <w:left w:val="single" w:sz="4" w:space="0" w:color="auto"/>
              <w:bottom w:val="single" w:sz="4" w:space="0" w:color="auto"/>
              <w:right w:val="single" w:sz="2" w:space="0" w:color="auto"/>
            </w:tcBorders>
            <w:vAlign w:val="bottom"/>
          </w:tcPr>
          <w:p w14:paraId="1BEADBF8" w14:textId="312CDC6A" w:rsidR="003B0711" w:rsidRPr="00C80F8E" w:rsidRDefault="00D953EB" w:rsidP="003B0711">
            <w:pPr>
              <w:jc w:val="right"/>
              <w:rPr>
                <w:rFonts w:ascii="Abadi" w:hAnsi="Abadi" w:cstheme="minorHAnsi"/>
                <w:sz w:val="20"/>
                <w:szCs w:val="20"/>
                <w:lang w:val="es-ES_tradnl"/>
              </w:rPr>
            </w:pPr>
            <w:r w:rsidRPr="00C80F8E">
              <w:rPr>
                <w:rFonts w:ascii="Abadi" w:hAnsi="Abadi" w:cstheme="minorHAnsi"/>
                <w:sz w:val="20"/>
                <w:szCs w:val="20"/>
                <w:lang w:val="es-ES_tradnl"/>
              </w:rPr>
              <w:t>275,199.60</w:t>
            </w:r>
          </w:p>
        </w:tc>
        <w:tc>
          <w:tcPr>
            <w:tcW w:w="2114" w:type="dxa"/>
            <w:tcBorders>
              <w:top w:val="single" w:sz="2" w:space="0" w:color="auto"/>
              <w:left w:val="single" w:sz="2" w:space="0" w:color="auto"/>
              <w:bottom w:val="single" w:sz="2" w:space="0" w:color="auto"/>
              <w:right w:val="single" w:sz="2" w:space="0" w:color="auto"/>
            </w:tcBorders>
            <w:vAlign w:val="bottom"/>
          </w:tcPr>
          <w:p w14:paraId="1C057B42" w14:textId="5604C817" w:rsidR="003B0711" w:rsidRPr="00C80F8E" w:rsidRDefault="00EA6D22" w:rsidP="003B0711">
            <w:pPr>
              <w:jc w:val="right"/>
              <w:rPr>
                <w:rFonts w:ascii="Abadi" w:hAnsi="Abadi" w:cstheme="minorHAnsi"/>
                <w:sz w:val="20"/>
                <w:szCs w:val="20"/>
                <w:lang w:val="es-ES_tradnl"/>
              </w:rPr>
            </w:pPr>
            <w:r w:rsidRPr="00C80F8E">
              <w:rPr>
                <w:rFonts w:ascii="Abadi" w:hAnsi="Abadi" w:cstheme="minorHAnsi"/>
                <w:sz w:val="20"/>
                <w:szCs w:val="20"/>
                <w:lang w:val="es-ES_tradnl"/>
              </w:rPr>
              <w:t>275,199.60</w:t>
            </w:r>
          </w:p>
        </w:tc>
      </w:tr>
      <w:tr w:rsidR="003B0711" w:rsidRPr="00C80F8E" w14:paraId="15A3E9E9"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2015A814"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Equipos de Comunicación y Señalamiento</w:t>
            </w:r>
          </w:p>
        </w:tc>
        <w:tc>
          <w:tcPr>
            <w:tcW w:w="2257" w:type="dxa"/>
            <w:tcBorders>
              <w:top w:val="single" w:sz="4" w:space="0" w:color="auto"/>
              <w:left w:val="single" w:sz="4" w:space="0" w:color="auto"/>
              <w:bottom w:val="single" w:sz="4" w:space="0" w:color="auto"/>
              <w:right w:val="single" w:sz="2" w:space="0" w:color="auto"/>
            </w:tcBorders>
            <w:vAlign w:val="bottom"/>
          </w:tcPr>
          <w:p w14:paraId="79DDD231" w14:textId="7F80DB15" w:rsidR="003B0711" w:rsidRPr="00C80F8E" w:rsidRDefault="00D953EB" w:rsidP="003B0711">
            <w:pPr>
              <w:jc w:val="right"/>
              <w:rPr>
                <w:rFonts w:ascii="Abadi" w:hAnsi="Abadi" w:cstheme="minorHAnsi"/>
                <w:sz w:val="20"/>
                <w:szCs w:val="20"/>
                <w:lang w:val="es-ES_tradnl"/>
              </w:rPr>
            </w:pPr>
            <w:r w:rsidRPr="00C80F8E">
              <w:rPr>
                <w:rFonts w:ascii="Abadi" w:hAnsi="Abadi" w:cstheme="minorHAnsi"/>
                <w:sz w:val="20"/>
                <w:szCs w:val="20"/>
                <w:lang w:val="es-ES_tradnl"/>
              </w:rPr>
              <w:t>2,760,174.11</w:t>
            </w:r>
          </w:p>
        </w:tc>
        <w:tc>
          <w:tcPr>
            <w:tcW w:w="2114" w:type="dxa"/>
            <w:tcBorders>
              <w:top w:val="single" w:sz="2" w:space="0" w:color="auto"/>
              <w:left w:val="single" w:sz="2" w:space="0" w:color="auto"/>
              <w:bottom w:val="single" w:sz="2" w:space="0" w:color="auto"/>
              <w:right w:val="single" w:sz="2" w:space="0" w:color="auto"/>
            </w:tcBorders>
            <w:vAlign w:val="bottom"/>
          </w:tcPr>
          <w:p w14:paraId="4DD59437" w14:textId="2397BD54" w:rsidR="003B0711" w:rsidRPr="00C80F8E" w:rsidRDefault="00387879" w:rsidP="003B0711">
            <w:pPr>
              <w:jc w:val="right"/>
              <w:rPr>
                <w:rFonts w:ascii="Abadi" w:hAnsi="Abadi" w:cstheme="minorHAnsi"/>
                <w:sz w:val="20"/>
                <w:szCs w:val="20"/>
                <w:lang w:val="es-ES_tradnl"/>
              </w:rPr>
            </w:pPr>
            <w:r w:rsidRPr="00C80F8E">
              <w:rPr>
                <w:rFonts w:ascii="Abadi" w:hAnsi="Abadi" w:cstheme="minorHAnsi"/>
                <w:sz w:val="20"/>
                <w:szCs w:val="20"/>
                <w:lang w:val="es-ES_tradnl"/>
              </w:rPr>
              <w:t>2,760,174.11</w:t>
            </w:r>
          </w:p>
        </w:tc>
      </w:tr>
      <w:tr w:rsidR="003B0711" w:rsidRPr="00C80F8E" w14:paraId="29EA6C84"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4C5140A6"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 xml:space="preserve">Electrodomésticos </w:t>
            </w:r>
          </w:p>
        </w:tc>
        <w:tc>
          <w:tcPr>
            <w:tcW w:w="2257" w:type="dxa"/>
            <w:tcBorders>
              <w:top w:val="single" w:sz="4" w:space="0" w:color="auto"/>
              <w:left w:val="single" w:sz="4" w:space="0" w:color="auto"/>
              <w:bottom w:val="single" w:sz="4" w:space="0" w:color="auto"/>
              <w:right w:val="single" w:sz="2" w:space="0" w:color="auto"/>
            </w:tcBorders>
            <w:vAlign w:val="bottom"/>
          </w:tcPr>
          <w:p w14:paraId="6429F233" w14:textId="52922753" w:rsidR="003B0711" w:rsidRPr="00C80F8E" w:rsidRDefault="00D953EB" w:rsidP="003B0711">
            <w:pPr>
              <w:jc w:val="right"/>
              <w:rPr>
                <w:rFonts w:ascii="Abadi" w:hAnsi="Abadi" w:cstheme="minorHAnsi"/>
                <w:sz w:val="20"/>
                <w:szCs w:val="20"/>
                <w:lang w:val="es-ES_tradnl"/>
              </w:rPr>
            </w:pPr>
            <w:r w:rsidRPr="00C80F8E">
              <w:rPr>
                <w:rFonts w:ascii="Abadi" w:hAnsi="Abadi" w:cstheme="minorHAnsi"/>
                <w:sz w:val="20"/>
                <w:szCs w:val="20"/>
                <w:lang w:val="es-ES_tradnl"/>
              </w:rPr>
              <w:t>621</w:t>
            </w:r>
            <w:r w:rsidR="00C66EC0" w:rsidRPr="00C80F8E">
              <w:rPr>
                <w:rFonts w:ascii="Abadi" w:hAnsi="Abadi" w:cstheme="minorHAnsi"/>
                <w:sz w:val="20"/>
                <w:szCs w:val="20"/>
                <w:lang w:val="es-ES_tradnl"/>
              </w:rPr>
              <w:t>,938.82</w:t>
            </w:r>
          </w:p>
        </w:tc>
        <w:tc>
          <w:tcPr>
            <w:tcW w:w="2114" w:type="dxa"/>
            <w:tcBorders>
              <w:top w:val="single" w:sz="2" w:space="0" w:color="auto"/>
              <w:left w:val="single" w:sz="2" w:space="0" w:color="auto"/>
              <w:bottom w:val="single" w:sz="2" w:space="0" w:color="auto"/>
              <w:right w:val="single" w:sz="2" w:space="0" w:color="auto"/>
            </w:tcBorders>
            <w:vAlign w:val="bottom"/>
          </w:tcPr>
          <w:p w14:paraId="383D7CD3" w14:textId="6A45B463" w:rsidR="003B0711" w:rsidRPr="00C80F8E" w:rsidRDefault="00FE157B" w:rsidP="003B0711">
            <w:pPr>
              <w:jc w:val="right"/>
              <w:rPr>
                <w:rFonts w:ascii="Abadi" w:hAnsi="Abadi" w:cstheme="minorHAnsi"/>
                <w:sz w:val="20"/>
                <w:szCs w:val="20"/>
                <w:lang w:val="es-ES_tradnl"/>
              </w:rPr>
            </w:pPr>
            <w:r w:rsidRPr="00C80F8E">
              <w:rPr>
                <w:rFonts w:ascii="Abadi" w:hAnsi="Abadi" w:cstheme="minorHAnsi"/>
                <w:sz w:val="20"/>
                <w:szCs w:val="20"/>
                <w:lang w:val="es-ES_tradnl"/>
              </w:rPr>
              <w:t>265,043.40</w:t>
            </w:r>
          </w:p>
        </w:tc>
      </w:tr>
      <w:tr w:rsidR="003B0711" w:rsidRPr="00C80F8E" w14:paraId="09CBF57D"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2151D0D5"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Equipos de Televisión</w:t>
            </w:r>
          </w:p>
        </w:tc>
        <w:tc>
          <w:tcPr>
            <w:tcW w:w="2257" w:type="dxa"/>
            <w:tcBorders>
              <w:top w:val="single" w:sz="4" w:space="0" w:color="auto"/>
              <w:left w:val="single" w:sz="4" w:space="0" w:color="auto"/>
              <w:bottom w:val="single" w:sz="4" w:space="0" w:color="auto"/>
              <w:right w:val="single" w:sz="2" w:space="0" w:color="auto"/>
            </w:tcBorders>
            <w:vAlign w:val="bottom"/>
          </w:tcPr>
          <w:p w14:paraId="5AC53CCA" w14:textId="38206372" w:rsidR="003B0711" w:rsidRPr="00C80F8E" w:rsidRDefault="00C66EC0" w:rsidP="003B0711">
            <w:pPr>
              <w:jc w:val="right"/>
              <w:rPr>
                <w:rFonts w:ascii="Abadi" w:hAnsi="Abadi" w:cstheme="minorHAnsi"/>
                <w:sz w:val="20"/>
                <w:szCs w:val="20"/>
                <w:lang w:val="es-ES_tradnl"/>
              </w:rPr>
            </w:pPr>
            <w:r w:rsidRPr="00C80F8E">
              <w:rPr>
                <w:rFonts w:ascii="Abadi" w:hAnsi="Abadi" w:cstheme="minorHAnsi"/>
                <w:sz w:val="20"/>
                <w:szCs w:val="20"/>
                <w:lang w:val="es-ES_tradnl"/>
              </w:rPr>
              <w:t>154,576.58</w:t>
            </w:r>
          </w:p>
        </w:tc>
        <w:tc>
          <w:tcPr>
            <w:tcW w:w="2114" w:type="dxa"/>
            <w:tcBorders>
              <w:top w:val="single" w:sz="2" w:space="0" w:color="auto"/>
              <w:left w:val="single" w:sz="2" w:space="0" w:color="auto"/>
              <w:bottom w:val="single" w:sz="2" w:space="0" w:color="auto"/>
              <w:right w:val="single" w:sz="2" w:space="0" w:color="auto"/>
            </w:tcBorders>
            <w:vAlign w:val="bottom"/>
          </w:tcPr>
          <w:p w14:paraId="5BBA012D" w14:textId="1B4BF28B" w:rsidR="003B0711" w:rsidRPr="00C80F8E" w:rsidRDefault="00FE157B" w:rsidP="003B0711">
            <w:pPr>
              <w:jc w:val="right"/>
              <w:rPr>
                <w:rFonts w:ascii="Abadi" w:hAnsi="Abadi" w:cstheme="minorHAnsi"/>
                <w:sz w:val="20"/>
                <w:szCs w:val="20"/>
                <w:lang w:val="es-ES_tradnl"/>
              </w:rPr>
            </w:pPr>
            <w:r w:rsidRPr="00C80F8E">
              <w:rPr>
                <w:rFonts w:ascii="Abadi" w:hAnsi="Abadi" w:cstheme="minorHAnsi"/>
                <w:sz w:val="20"/>
                <w:szCs w:val="20"/>
                <w:lang w:val="es-ES_tradnl"/>
              </w:rPr>
              <w:t>154,576.58</w:t>
            </w:r>
          </w:p>
        </w:tc>
      </w:tr>
      <w:tr w:rsidR="003B0711" w:rsidRPr="00C80F8E" w14:paraId="0804083C"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70958397"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Equipo Militar y de Seguridad</w:t>
            </w:r>
          </w:p>
        </w:tc>
        <w:tc>
          <w:tcPr>
            <w:tcW w:w="2257" w:type="dxa"/>
            <w:tcBorders>
              <w:top w:val="single" w:sz="4" w:space="0" w:color="auto"/>
              <w:left w:val="single" w:sz="4" w:space="0" w:color="auto"/>
              <w:bottom w:val="single" w:sz="4" w:space="0" w:color="auto"/>
              <w:right w:val="single" w:sz="2" w:space="0" w:color="auto"/>
            </w:tcBorders>
            <w:vAlign w:val="bottom"/>
          </w:tcPr>
          <w:p w14:paraId="32E62720" w14:textId="377F85D4" w:rsidR="003B0711" w:rsidRPr="00C80F8E" w:rsidRDefault="00FD20B0" w:rsidP="003B0711">
            <w:pPr>
              <w:jc w:val="right"/>
              <w:rPr>
                <w:rFonts w:ascii="Abadi" w:hAnsi="Abadi" w:cstheme="minorHAnsi"/>
                <w:sz w:val="20"/>
                <w:szCs w:val="20"/>
                <w:lang w:val="es-ES_tradnl"/>
              </w:rPr>
            </w:pPr>
            <w:r w:rsidRPr="00C80F8E">
              <w:rPr>
                <w:rFonts w:ascii="Abadi" w:hAnsi="Abadi" w:cstheme="minorHAnsi"/>
                <w:sz w:val="20"/>
                <w:szCs w:val="20"/>
                <w:lang w:val="es-ES_tradnl"/>
              </w:rPr>
              <w:t>1,390,190.60</w:t>
            </w:r>
          </w:p>
        </w:tc>
        <w:tc>
          <w:tcPr>
            <w:tcW w:w="2114" w:type="dxa"/>
            <w:tcBorders>
              <w:top w:val="single" w:sz="2" w:space="0" w:color="auto"/>
              <w:left w:val="single" w:sz="2" w:space="0" w:color="auto"/>
              <w:bottom w:val="single" w:sz="2" w:space="0" w:color="auto"/>
              <w:right w:val="single" w:sz="2" w:space="0" w:color="auto"/>
            </w:tcBorders>
            <w:vAlign w:val="bottom"/>
          </w:tcPr>
          <w:p w14:paraId="4277C66C" w14:textId="71B030CF" w:rsidR="003B0711" w:rsidRPr="00C80F8E" w:rsidRDefault="00952344" w:rsidP="003B0711">
            <w:pPr>
              <w:jc w:val="right"/>
              <w:rPr>
                <w:rFonts w:ascii="Abadi" w:hAnsi="Abadi" w:cstheme="minorHAnsi"/>
                <w:sz w:val="20"/>
                <w:szCs w:val="20"/>
                <w:lang w:val="es-ES_tradnl"/>
              </w:rPr>
            </w:pPr>
            <w:r w:rsidRPr="00C80F8E">
              <w:rPr>
                <w:rFonts w:ascii="Abadi" w:hAnsi="Abadi" w:cstheme="minorHAnsi"/>
                <w:sz w:val="20"/>
                <w:szCs w:val="20"/>
                <w:lang w:val="es-ES_tradnl"/>
              </w:rPr>
              <w:t>1,390,190.60</w:t>
            </w:r>
          </w:p>
        </w:tc>
      </w:tr>
      <w:tr w:rsidR="003B0711" w:rsidRPr="00C80F8E" w14:paraId="65BA51B5"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1DBCA7F6"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Equipos Varios</w:t>
            </w:r>
          </w:p>
        </w:tc>
        <w:tc>
          <w:tcPr>
            <w:tcW w:w="2257" w:type="dxa"/>
            <w:tcBorders>
              <w:top w:val="single" w:sz="4" w:space="0" w:color="auto"/>
              <w:left w:val="single" w:sz="4" w:space="0" w:color="auto"/>
              <w:bottom w:val="single" w:sz="4" w:space="0" w:color="auto"/>
              <w:right w:val="single" w:sz="2" w:space="0" w:color="auto"/>
            </w:tcBorders>
            <w:vAlign w:val="bottom"/>
          </w:tcPr>
          <w:p w14:paraId="69844AC0" w14:textId="13BA0C6E" w:rsidR="003B0711" w:rsidRPr="00C80F8E" w:rsidRDefault="00FD20B0" w:rsidP="003B0711">
            <w:pPr>
              <w:jc w:val="right"/>
              <w:rPr>
                <w:rFonts w:ascii="Abadi" w:hAnsi="Abadi" w:cstheme="minorHAnsi"/>
                <w:sz w:val="20"/>
                <w:szCs w:val="20"/>
                <w:lang w:val="es-ES_tradnl"/>
              </w:rPr>
            </w:pPr>
            <w:r w:rsidRPr="00C80F8E">
              <w:rPr>
                <w:rFonts w:ascii="Abadi" w:hAnsi="Abadi" w:cstheme="minorHAnsi"/>
                <w:sz w:val="20"/>
                <w:szCs w:val="20"/>
                <w:lang w:val="es-ES_tradnl"/>
              </w:rPr>
              <w:t>4,526,588.19</w:t>
            </w:r>
          </w:p>
        </w:tc>
        <w:tc>
          <w:tcPr>
            <w:tcW w:w="2114" w:type="dxa"/>
            <w:tcBorders>
              <w:top w:val="single" w:sz="2" w:space="0" w:color="auto"/>
              <w:left w:val="single" w:sz="2" w:space="0" w:color="auto"/>
              <w:bottom w:val="single" w:sz="2" w:space="0" w:color="auto"/>
              <w:right w:val="single" w:sz="2" w:space="0" w:color="auto"/>
            </w:tcBorders>
            <w:vAlign w:val="bottom"/>
          </w:tcPr>
          <w:p w14:paraId="1334A568" w14:textId="750CCA7A" w:rsidR="003B0711" w:rsidRPr="00C80F8E" w:rsidRDefault="00F228FB" w:rsidP="003B0711">
            <w:pPr>
              <w:jc w:val="right"/>
              <w:rPr>
                <w:rFonts w:ascii="Abadi" w:hAnsi="Abadi" w:cstheme="minorHAnsi"/>
                <w:sz w:val="20"/>
                <w:szCs w:val="20"/>
                <w:lang w:val="es-ES_tradnl"/>
              </w:rPr>
            </w:pPr>
            <w:r w:rsidRPr="00C80F8E">
              <w:rPr>
                <w:rFonts w:ascii="Abadi" w:hAnsi="Abadi" w:cstheme="minorHAnsi"/>
                <w:sz w:val="20"/>
                <w:szCs w:val="20"/>
                <w:lang w:val="es-ES_tradnl"/>
              </w:rPr>
              <w:t>4</w:t>
            </w:r>
            <w:r w:rsidR="0020152C" w:rsidRPr="00C80F8E">
              <w:rPr>
                <w:rFonts w:ascii="Abadi" w:hAnsi="Abadi" w:cstheme="minorHAnsi"/>
                <w:sz w:val="20"/>
                <w:szCs w:val="20"/>
                <w:lang w:val="es-ES_tradnl"/>
              </w:rPr>
              <w:t>,</w:t>
            </w:r>
            <w:r w:rsidRPr="00C80F8E">
              <w:rPr>
                <w:rFonts w:ascii="Abadi" w:hAnsi="Abadi" w:cstheme="minorHAnsi"/>
                <w:sz w:val="20"/>
                <w:szCs w:val="20"/>
                <w:lang w:val="es-ES_tradnl"/>
              </w:rPr>
              <w:t>491</w:t>
            </w:r>
            <w:r w:rsidR="0020152C" w:rsidRPr="00C80F8E">
              <w:rPr>
                <w:rFonts w:ascii="Abadi" w:hAnsi="Abadi" w:cstheme="minorHAnsi"/>
                <w:sz w:val="20"/>
                <w:szCs w:val="20"/>
                <w:lang w:val="es-ES_tradnl"/>
              </w:rPr>
              <w:t>,</w:t>
            </w:r>
            <w:r w:rsidRPr="00C80F8E">
              <w:rPr>
                <w:rFonts w:ascii="Abadi" w:hAnsi="Abadi" w:cstheme="minorHAnsi"/>
                <w:sz w:val="20"/>
                <w:szCs w:val="20"/>
                <w:lang w:val="es-ES_tradnl"/>
              </w:rPr>
              <w:t>188.19</w:t>
            </w:r>
          </w:p>
        </w:tc>
      </w:tr>
      <w:tr w:rsidR="003B0711" w:rsidRPr="00C80F8E" w14:paraId="4EB5BF13"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37DD7F2C" w14:textId="77777777" w:rsidR="003B0711" w:rsidRPr="00C80F8E" w:rsidRDefault="003B0711" w:rsidP="003B0711">
            <w:pPr>
              <w:jc w:val="both"/>
              <w:rPr>
                <w:rFonts w:ascii="Abadi" w:hAnsi="Abadi" w:cstheme="minorHAnsi"/>
                <w:bCs/>
                <w:sz w:val="20"/>
                <w:szCs w:val="20"/>
                <w:lang w:val="es-ES_tradnl"/>
              </w:rPr>
            </w:pPr>
            <w:proofErr w:type="spellStart"/>
            <w:r w:rsidRPr="00C80F8E">
              <w:rPr>
                <w:rFonts w:ascii="Abadi" w:hAnsi="Abadi" w:cs="Calibri"/>
                <w:color w:val="000000"/>
                <w:sz w:val="20"/>
                <w:szCs w:val="20"/>
                <w:lang w:val="es-ES_tradnl"/>
              </w:rPr>
              <w:t>Sist</w:t>
            </w:r>
            <w:proofErr w:type="spellEnd"/>
            <w:r w:rsidRPr="00C80F8E">
              <w:rPr>
                <w:rFonts w:ascii="Abadi" w:hAnsi="Abadi" w:cs="Calibri"/>
                <w:color w:val="000000"/>
                <w:sz w:val="20"/>
                <w:szCs w:val="20"/>
                <w:lang w:val="es-ES_tradnl"/>
              </w:rPr>
              <w:t xml:space="preserve">. de Aire Acondicionado, </w:t>
            </w:r>
            <w:proofErr w:type="spellStart"/>
            <w:r w:rsidRPr="00C80F8E">
              <w:rPr>
                <w:rFonts w:ascii="Abadi" w:hAnsi="Abadi" w:cs="Calibri"/>
                <w:color w:val="000000"/>
                <w:sz w:val="20"/>
                <w:szCs w:val="20"/>
                <w:lang w:val="es-ES_tradnl"/>
              </w:rPr>
              <w:t>Calefac</w:t>
            </w:r>
            <w:proofErr w:type="spellEnd"/>
            <w:r w:rsidRPr="00C80F8E">
              <w:rPr>
                <w:rFonts w:ascii="Abadi" w:hAnsi="Abadi" w:cs="Calibri"/>
                <w:color w:val="000000"/>
                <w:sz w:val="20"/>
                <w:szCs w:val="20"/>
                <w:lang w:val="es-ES_tradnl"/>
              </w:rPr>
              <w:t xml:space="preserve">. y </w:t>
            </w:r>
            <w:proofErr w:type="spellStart"/>
            <w:r w:rsidRPr="00C80F8E">
              <w:rPr>
                <w:rFonts w:ascii="Abadi" w:hAnsi="Abadi" w:cs="Calibri"/>
                <w:color w:val="000000"/>
                <w:sz w:val="20"/>
                <w:szCs w:val="20"/>
                <w:lang w:val="es-ES_tradnl"/>
              </w:rPr>
              <w:t>Refrigerac</w:t>
            </w:r>
            <w:proofErr w:type="spellEnd"/>
          </w:p>
        </w:tc>
        <w:tc>
          <w:tcPr>
            <w:tcW w:w="2257" w:type="dxa"/>
            <w:tcBorders>
              <w:top w:val="single" w:sz="4" w:space="0" w:color="auto"/>
              <w:left w:val="single" w:sz="4" w:space="0" w:color="auto"/>
              <w:bottom w:val="single" w:sz="4" w:space="0" w:color="auto"/>
              <w:right w:val="single" w:sz="2" w:space="0" w:color="auto"/>
            </w:tcBorders>
            <w:vAlign w:val="bottom"/>
          </w:tcPr>
          <w:p w14:paraId="47647C79" w14:textId="50DFEAB0" w:rsidR="003B0711" w:rsidRPr="00C80F8E" w:rsidRDefault="00A22ACE" w:rsidP="003B0711">
            <w:pPr>
              <w:jc w:val="right"/>
              <w:rPr>
                <w:rFonts w:ascii="Abadi" w:hAnsi="Abadi" w:cstheme="minorHAnsi"/>
                <w:sz w:val="20"/>
                <w:szCs w:val="20"/>
                <w:lang w:val="es-ES_tradnl"/>
              </w:rPr>
            </w:pPr>
            <w:r w:rsidRPr="00C80F8E">
              <w:rPr>
                <w:rFonts w:ascii="Abadi" w:hAnsi="Abadi" w:cstheme="minorHAnsi"/>
                <w:sz w:val="20"/>
                <w:szCs w:val="20"/>
                <w:lang w:val="es-ES_tradnl"/>
              </w:rPr>
              <w:t>6,403,387.46</w:t>
            </w:r>
          </w:p>
        </w:tc>
        <w:tc>
          <w:tcPr>
            <w:tcW w:w="2114" w:type="dxa"/>
            <w:tcBorders>
              <w:top w:val="single" w:sz="2" w:space="0" w:color="auto"/>
              <w:left w:val="single" w:sz="2" w:space="0" w:color="auto"/>
              <w:bottom w:val="single" w:sz="2" w:space="0" w:color="auto"/>
              <w:right w:val="single" w:sz="2" w:space="0" w:color="auto"/>
            </w:tcBorders>
            <w:vAlign w:val="bottom"/>
          </w:tcPr>
          <w:p w14:paraId="7507FE5A" w14:textId="1FBE42D9" w:rsidR="003B0711" w:rsidRPr="00C80F8E" w:rsidRDefault="0020152C" w:rsidP="003B0711">
            <w:pPr>
              <w:jc w:val="right"/>
              <w:rPr>
                <w:rFonts w:ascii="Abadi" w:hAnsi="Abadi" w:cstheme="minorHAnsi"/>
                <w:sz w:val="20"/>
                <w:szCs w:val="20"/>
                <w:lang w:val="es-ES_tradnl"/>
              </w:rPr>
            </w:pPr>
            <w:r w:rsidRPr="00C80F8E">
              <w:rPr>
                <w:rFonts w:ascii="Abadi" w:hAnsi="Abadi" w:cstheme="minorHAnsi"/>
                <w:sz w:val="20"/>
                <w:szCs w:val="20"/>
                <w:lang w:val="es-ES_tradnl"/>
              </w:rPr>
              <w:t>5,976,660.46</w:t>
            </w:r>
          </w:p>
        </w:tc>
      </w:tr>
      <w:tr w:rsidR="003B0711" w:rsidRPr="00C80F8E" w14:paraId="11D80EA8"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2D7029D3"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Equipos y Aparatos Audiovisuales</w:t>
            </w:r>
          </w:p>
        </w:tc>
        <w:tc>
          <w:tcPr>
            <w:tcW w:w="2257" w:type="dxa"/>
            <w:tcBorders>
              <w:top w:val="single" w:sz="4" w:space="0" w:color="auto"/>
              <w:left w:val="single" w:sz="4" w:space="0" w:color="auto"/>
              <w:bottom w:val="single" w:sz="4" w:space="0" w:color="auto"/>
              <w:right w:val="nil"/>
            </w:tcBorders>
            <w:vAlign w:val="bottom"/>
          </w:tcPr>
          <w:p w14:paraId="43014909" w14:textId="7309D4E8" w:rsidR="003B0711" w:rsidRPr="00C80F8E" w:rsidRDefault="00AF0323" w:rsidP="003B0711">
            <w:pPr>
              <w:jc w:val="right"/>
              <w:rPr>
                <w:rFonts w:ascii="Abadi" w:hAnsi="Abadi" w:cstheme="minorHAnsi"/>
                <w:sz w:val="20"/>
                <w:szCs w:val="20"/>
                <w:lang w:val="es-ES_tradnl"/>
              </w:rPr>
            </w:pPr>
            <w:r w:rsidRPr="00C80F8E">
              <w:rPr>
                <w:rFonts w:ascii="Abadi" w:hAnsi="Abadi" w:cstheme="minorHAnsi"/>
                <w:sz w:val="20"/>
                <w:szCs w:val="20"/>
                <w:lang w:val="es-ES_tradnl"/>
              </w:rPr>
              <w:t>2,534,777.48</w:t>
            </w:r>
          </w:p>
        </w:tc>
        <w:tc>
          <w:tcPr>
            <w:tcW w:w="2114" w:type="dxa"/>
            <w:tcBorders>
              <w:top w:val="single" w:sz="2" w:space="0" w:color="auto"/>
              <w:bottom w:val="single" w:sz="4" w:space="0" w:color="auto"/>
            </w:tcBorders>
            <w:vAlign w:val="bottom"/>
          </w:tcPr>
          <w:p w14:paraId="235BBFC1" w14:textId="010AC22C" w:rsidR="003B0711" w:rsidRPr="00C80F8E" w:rsidRDefault="003B29C7" w:rsidP="003B0711">
            <w:pPr>
              <w:jc w:val="right"/>
              <w:rPr>
                <w:rFonts w:ascii="Abadi" w:hAnsi="Abadi" w:cstheme="minorHAnsi"/>
                <w:sz w:val="20"/>
                <w:szCs w:val="20"/>
                <w:lang w:val="es-ES_tradnl"/>
              </w:rPr>
            </w:pPr>
            <w:r w:rsidRPr="00C80F8E">
              <w:rPr>
                <w:rFonts w:ascii="Abadi" w:hAnsi="Abadi" w:cstheme="minorHAnsi"/>
                <w:sz w:val="20"/>
                <w:szCs w:val="20"/>
                <w:lang w:val="es-ES_tradnl"/>
              </w:rPr>
              <w:t>2,292,375.98</w:t>
            </w:r>
          </w:p>
        </w:tc>
      </w:tr>
      <w:tr w:rsidR="003B0711" w:rsidRPr="00C80F8E" w14:paraId="0C409F63"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28B6F7B5" w14:textId="28A8DCB1" w:rsidR="003B0711" w:rsidRPr="00C80F8E" w:rsidRDefault="005D1836"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12</w:t>
            </w:r>
            <w:r w:rsidR="003B0711" w:rsidRPr="00C80F8E">
              <w:rPr>
                <w:rFonts w:ascii="Abadi" w:hAnsi="Abadi" w:cs="Calibri"/>
                <w:color w:val="000000"/>
                <w:sz w:val="20"/>
                <w:szCs w:val="20"/>
                <w:lang w:val="es-ES_tradnl"/>
              </w:rPr>
              <w:t>Cámaras Fotográficas y de Video</w:t>
            </w:r>
          </w:p>
        </w:tc>
        <w:tc>
          <w:tcPr>
            <w:tcW w:w="2257" w:type="dxa"/>
            <w:tcBorders>
              <w:top w:val="single" w:sz="4" w:space="0" w:color="auto"/>
              <w:left w:val="single" w:sz="4" w:space="0" w:color="auto"/>
              <w:bottom w:val="single" w:sz="4" w:space="0" w:color="auto"/>
              <w:right w:val="nil"/>
            </w:tcBorders>
            <w:vAlign w:val="bottom"/>
          </w:tcPr>
          <w:p w14:paraId="0E49A8D5" w14:textId="46F222D3" w:rsidR="003B0711" w:rsidRPr="00C80F8E" w:rsidRDefault="00AF0323" w:rsidP="003B0711">
            <w:pPr>
              <w:jc w:val="right"/>
              <w:rPr>
                <w:rFonts w:ascii="Abadi" w:hAnsi="Abadi" w:cstheme="minorHAnsi"/>
                <w:sz w:val="20"/>
                <w:szCs w:val="20"/>
                <w:lang w:val="es-ES_tradnl"/>
              </w:rPr>
            </w:pPr>
            <w:r w:rsidRPr="00C80F8E">
              <w:rPr>
                <w:rFonts w:ascii="Abadi" w:hAnsi="Abadi" w:cstheme="minorHAnsi"/>
                <w:sz w:val="20"/>
                <w:szCs w:val="20"/>
                <w:lang w:val="es-ES_tradnl"/>
              </w:rPr>
              <w:t>1,366,280.70</w:t>
            </w:r>
          </w:p>
        </w:tc>
        <w:tc>
          <w:tcPr>
            <w:tcW w:w="2114" w:type="dxa"/>
            <w:tcBorders>
              <w:bottom w:val="single" w:sz="4" w:space="0" w:color="auto"/>
            </w:tcBorders>
            <w:vAlign w:val="bottom"/>
          </w:tcPr>
          <w:p w14:paraId="3ADEB132" w14:textId="4D1CC7FD" w:rsidR="003B0711" w:rsidRPr="00C80F8E" w:rsidRDefault="00511C8A" w:rsidP="003B0711">
            <w:pPr>
              <w:jc w:val="right"/>
              <w:rPr>
                <w:rFonts w:ascii="Abadi" w:hAnsi="Abadi" w:cstheme="minorHAnsi"/>
                <w:sz w:val="20"/>
                <w:szCs w:val="20"/>
                <w:lang w:val="es-ES_tradnl"/>
              </w:rPr>
            </w:pPr>
            <w:r w:rsidRPr="00C80F8E">
              <w:rPr>
                <w:rFonts w:ascii="Abadi" w:hAnsi="Abadi" w:cstheme="minorHAnsi"/>
                <w:sz w:val="20"/>
                <w:szCs w:val="20"/>
                <w:lang w:val="es-ES_tradnl"/>
              </w:rPr>
              <w:t>1,366,280.70</w:t>
            </w:r>
          </w:p>
        </w:tc>
      </w:tr>
      <w:tr w:rsidR="003B0711" w:rsidRPr="00C80F8E" w14:paraId="6AFF52D7" w14:textId="77777777" w:rsidTr="00C715CA">
        <w:trPr>
          <w:trHeight w:val="258"/>
        </w:trPr>
        <w:tc>
          <w:tcPr>
            <w:tcW w:w="4867" w:type="dxa"/>
            <w:tcBorders>
              <w:top w:val="single" w:sz="4" w:space="0" w:color="auto"/>
              <w:left w:val="single" w:sz="4" w:space="0" w:color="auto"/>
              <w:bottom w:val="single" w:sz="4" w:space="0" w:color="auto"/>
              <w:right w:val="single" w:sz="4" w:space="0" w:color="auto"/>
            </w:tcBorders>
          </w:tcPr>
          <w:p w14:paraId="262F52BD" w14:textId="77777777" w:rsidR="003B0711" w:rsidRPr="00C80F8E" w:rsidRDefault="003B0711" w:rsidP="003B0711">
            <w:pPr>
              <w:jc w:val="both"/>
              <w:rPr>
                <w:rFonts w:ascii="Abadi" w:hAnsi="Abadi" w:cstheme="minorHAnsi"/>
                <w:bCs/>
                <w:sz w:val="20"/>
                <w:szCs w:val="20"/>
                <w:lang w:val="es-ES_tradnl"/>
              </w:rPr>
            </w:pPr>
            <w:r w:rsidRPr="00C80F8E">
              <w:rPr>
                <w:rFonts w:ascii="Abadi" w:hAnsi="Abadi" w:cs="Calibri"/>
                <w:color w:val="000000"/>
                <w:sz w:val="20"/>
                <w:szCs w:val="20"/>
                <w:lang w:val="es-ES_tradnl"/>
              </w:rPr>
              <w:t>Máquinas-Herramienta</w:t>
            </w:r>
          </w:p>
        </w:tc>
        <w:tc>
          <w:tcPr>
            <w:tcW w:w="2257" w:type="dxa"/>
            <w:tcBorders>
              <w:top w:val="single" w:sz="4" w:space="0" w:color="auto"/>
              <w:left w:val="single" w:sz="4" w:space="0" w:color="auto"/>
              <w:bottom w:val="single" w:sz="4" w:space="0" w:color="auto"/>
              <w:right w:val="nil"/>
            </w:tcBorders>
            <w:vAlign w:val="bottom"/>
          </w:tcPr>
          <w:p w14:paraId="0085D1DD" w14:textId="3FADB7BB" w:rsidR="003B0711" w:rsidRPr="00C80F8E" w:rsidRDefault="00AF0323" w:rsidP="003B0711">
            <w:pPr>
              <w:jc w:val="right"/>
              <w:rPr>
                <w:rFonts w:ascii="Abadi" w:hAnsi="Abadi" w:cstheme="minorHAnsi"/>
                <w:sz w:val="20"/>
                <w:szCs w:val="20"/>
                <w:lang w:val="es-ES_tradnl"/>
              </w:rPr>
            </w:pPr>
            <w:r w:rsidRPr="00C80F8E">
              <w:rPr>
                <w:rFonts w:ascii="Abadi" w:hAnsi="Abadi" w:cstheme="minorHAnsi"/>
                <w:sz w:val="20"/>
                <w:szCs w:val="20"/>
                <w:lang w:val="es-ES_tradnl"/>
              </w:rPr>
              <w:t>100,872.30</w:t>
            </w:r>
          </w:p>
        </w:tc>
        <w:tc>
          <w:tcPr>
            <w:tcW w:w="2114" w:type="dxa"/>
            <w:tcBorders>
              <w:top w:val="single" w:sz="4" w:space="0" w:color="auto"/>
              <w:bottom w:val="single" w:sz="4" w:space="0" w:color="auto"/>
            </w:tcBorders>
            <w:vAlign w:val="bottom"/>
          </w:tcPr>
          <w:p w14:paraId="28D0BD6A" w14:textId="1084811B" w:rsidR="003B0711" w:rsidRPr="00C80F8E" w:rsidRDefault="00511C8A" w:rsidP="003B0711">
            <w:pPr>
              <w:jc w:val="right"/>
              <w:rPr>
                <w:rFonts w:ascii="Abadi" w:hAnsi="Abadi" w:cstheme="minorHAnsi"/>
                <w:sz w:val="20"/>
                <w:szCs w:val="20"/>
                <w:lang w:val="es-ES_tradnl"/>
              </w:rPr>
            </w:pPr>
            <w:r w:rsidRPr="00C80F8E">
              <w:rPr>
                <w:rFonts w:ascii="Abadi" w:hAnsi="Abadi" w:cstheme="minorHAnsi"/>
                <w:sz w:val="20"/>
                <w:szCs w:val="20"/>
                <w:lang w:val="es-ES_tradnl"/>
              </w:rPr>
              <w:t>100</w:t>
            </w:r>
            <w:r w:rsidR="005B03D2" w:rsidRPr="00C80F8E">
              <w:rPr>
                <w:rFonts w:ascii="Abadi" w:hAnsi="Abadi" w:cstheme="minorHAnsi"/>
                <w:sz w:val="20"/>
                <w:szCs w:val="20"/>
                <w:lang w:val="es-ES_tradnl"/>
              </w:rPr>
              <w:t>,</w:t>
            </w:r>
            <w:r w:rsidRPr="00C80F8E">
              <w:rPr>
                <w:rFonts w:ascii="Abadi" w:hAnsi="Abadi" w:cstheme="minorHAnsi"/>
                <w:sz w:val="20"/>
                <w:szCs w:val="20"/>
                <w:lang w:val="es-ES_tradnl"/>
              </w:rPr>
              <w:t>87</w:t>
            </w:r>
            <w:r w:rsidR="005B03D2" w:rsidRPr="00C80F8E">
              <w:rPr>
                <w:rFonts w:ascii="Abadi" w:hAnsi="Abadi" w:cstheme="minorHAnsi"/>
                <w:sz w:val="20"/>
                <w:szCs w:val="20"/>
                <w:lang w:val="es-ES_tradnl"/>
              </w:rPr>
              <w:t>2.30</w:t>
            </w:r>
          </w:p>
        </w:tc>
      </w:tr>
      <w:tr w:rsidR="00C715CA" w:rsidRPr="00C80F8E" w14:paraId="27A2E1EF" w14:textId="77777777" w:rsidTr="00E07A50">
        <w:trPr>
          <w:trHeight w:val="258"/>
        </w:trPr>
        <w:tc>
          <w:tcPr>
            <w:tcW w:w="4867" w:type="dxa"/>
            <w:tcBorders>
              <w:top w:val="single" w:sz="4" w:space="0" w:color="auto"/>
              <w:left w:val="single" w:sz="4" w:space="0" w:color="auto"/>
              <w:bottom w:val="single" w:sz="4" w:space="0" w:color="auto"/>
              <w:right w:val="single" w:sz="4" w:space="0" w:color="auto"/>
            </w:tcBorders>
          </w:tcPr>
          <w:p w14:paraId="58B432EF" w14:textId="6FE51AE6" w:rsidR="00C715CA" w:rsidRPr="00C80F8E" w:rsidRDefault="00C715CA" w:rsidP="003B0711">
            <w:pPr>
              <w:jc w:val="both"/>
              <w:rPr>
                <w:rFonts w:ascii="Abadi" w:hAnsi="Abadi" w:cs="Calibri"/>
                <w:color w:val="000000"/>
                <w:sz w:val="20"/>
                <w:szCs w:val="20"/>
                <w:lang w:val="es-ES_tradnl"/>
              </w:rPr>
            </w:pPr>
            <w:r w:rsidRPr="00C80F8E">
              <w:rPr>
                <w:rFonts w:ascii="Abadi" w:hAnsi="Abadi" w:cstheme="minorHAnsi"/>
                <w:bCs/>
                <w:sz w:val="20"/>
                <w:szCs w:val="20"/>
                <w:lang w:val="es-ES_tradnl"/>
              </w:rPr>
              <w:t>Equipo de Tracción</w:t>
            </w:r>
          </w:p>
        </w:tc>
        <w:tc>
          <w:tcPr>
            <w:tcW w:w="2257" w:type="dxa"/>
            <w:tcBorders>
              <w:top w:val="single" w:sz="4" w:space="0" w:color="auto"/>
              <w:left w:val="single" w:sz="4" w:space="0" w:color="auto"/>
              <w:bottom w:val="single" w:sz="4" w:space="0" w:color="auto"/>
              <w:right w:val="nil"/>
            </w:tcBorders>
            <w:vAlign w:val="bottom"/>
          </w:tcPr>
          <w:p w14:paraId="1412DA70" w14:textId="7BB8EC10" w:rsidR="00C715CA" w:rsidRPr="00C80F8E" w:rsidRDefault="00C125B8" w:rsidP="003B0711">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14" w:type="dxa"/>
            <w:tcBorders>
              <w:top w:val="single" w:sz="4" w:space="0" w:color="auto"/>
              <w:bottom w:val="single" w:sz="4" w:space="0" w:color="auto"/>
            </w:tcBorders>
            <w:vAlign w:val="bottom"/>
          </w:tcPr>
          <w:p w14:paraId="3252A579" w14:textId="362B06B2" w:rsidR="00C715CA" w:rsidRPr="00C80F8E" w:rsidRDefault="00C715CA" w:rsidP="003B0711">
            <w:pPr>
              <w:jc w:val="right"/>
              <w:rPr>
                <w:rFonts w:ascii="Abadi" w:hAnsi="Abadi" w:cstheme="minorHAnsi"/>
                <w:sz w:val="20"/>
                <w:szCs w:val="20"/>
                <w:lang w:val="es-ES_tradnl"/>
              </w:rPr>
            </w:pPr>
            <w:r w:rsidRPr="00C80F8E">
              <w:rPr>
                <w:rFonts w:ascii="Abadi" w:hAnsi="Abadi" w:cstheme="minorHAnsi"/>
                <w:sz w:val="20"/>
                <w:szCs w:val="20"/>
                <w:lang w:val="es-ES_tradnl"/>
              </w:rPr>
              <w:t>8,14</w:t>
            </w:r>
            <w:r w:rsidR="00933823" w:rsidRPr="00C80F8E">
              <w:rPr>
                <w:rFonts w:ascii="Abadi" w:hAnsi="Abadi" w:cstheme="minorHAnsi"/>
                <w:sz w:val="20"/>
                <w:szCs w:val="20"/>
                <w:lang w:val="es-ES_tradnl"/>
              </w:rPr>
              <w:t>2.00</w:t>
            </w:r>
          </w:p>
        </w:tc>
      </w:tr>
      <w:tr w:rsidR="002304BE" w:rsidRPr="00C80F8E" w14:paraId="670C0E3E" w14:textId="77777777" w:rsidTr="00E07A50">
        <w:trPr>
          <w:trHeight w:val="258"/>
        </w:trPr>
        <w:tc>
          <w:tcPr>
            <w:tcW w:w="4867" w:type="dxa"/>
            <w:tcBorders>
              <w:top w:val="single" w:sz="4" w:space="0" w:color="auto"/>
              <w:left w:val="single" w:sz="4" w:space="0" w:color="auto"/>
              <w:bottom w:val="single" w:sz="4" w:space="0" w:color="auto"/>
              <w:right w:val="single" w:sz="4" w:space="0" w:color="auto"/>
            </w:tcBorders>
          </w:tcPr>
          <w:p w14:paraId="5F223ABA" w14:textId="28F7595E" w:rsidR="002304BE" w:rsidRPr="00C80F8E" w:rsidRDefault="00E07A50" w:rsidP="003B0711">
            <w:pPr>
              <w:jc w:val="both"/>
              <w:rPr>
                <w:rFonts w:ascii="Abadi" w:hAnsi="Abadi" w:cstheme="minorHAnsi"/>
                <w:bCs/>
                <w:sz w:val="20"/>
                <w:szCs w:val="20"/>
                <w:lang w:val="es-ES_tradnl"/>
              </w:rPr>
            </w:pPr>
            <w:r w:rsidRPr="00C80F8E">
              <w:rPr>
                <w:rFonts w:ascii="Abadi" w:hAnsi="Abadi" w:cstheme="minorHAnsi"/>
                <w:bCs/>
                <w:sz w:val="20"/>
                <w:szCs w:val="20"/>
                <w:lang w:val="es-ES_tradnl"/>
              </w:rPr>
              <w:t>Equipos Médicos y de Laboratorio</w:t>
            </w:r>
          </w:p>
        </w:tc>
        <w:tc>
          <w:tcPr>
            <w:tcW w:w="2257" w:type="dxa"/>
            <w:tcBorders>
              <w:top w:val="single" w:sz="4" w:space="0" w:color="auto"/>
              <w:left w:val="single" w:sz="4" w:space="0" w:color="auto"/>
              <w:bottom w:val="single" w:sz="4" w:space="0" w:color="auto"/>
              <w:right w:val="nil"/>
            </w:tcBorders>
            <w:vAlign w:val="bottom"/>
          </w:tcPr>
          <w:p w14:paraId="3F33DB38" w14:textId="65FBB4A1" w:rsidR="002304BE" w:rsidRPr="00C80F8E" w:rsidRDefault="00E07A50" w:rsidP="003B0711">
            <w:pPr>
              <w:jc w:val="right"/>
              <w:rPr>
                <w:rFonts w:ascii="Abadi" w:hAnsi="Abadi" w:cstheme="minorHAnsi"/>
                <w:sz w:val="20"/>
                <w:szCs w:val="20"/>
                <w:lang w:val="es-ES_tradnl"/>
              </w:rPr>
            </w:pPr>
            <w:r w:rsidRPr="00C80F8E">
              <w:rPr>
                <w:rFonts w:ascii="Abadi" w:hAnsi="Abadi" w:cstheme="minorHAnsi"/>
                <w:sz w:val="20"/>
                <w:szCs w:val="20"/>
                <w:lang w:val="es-ES_tradnl"/>
              </w:rPr>
              <w:t>24,756.50</w:t>
            </w:r>
          </w:p>
        </w:tc>
        <w:tc>
          <w:tcPr>
            <w:tcW w:w="2114" w:type="dxa"/>
            <w:tcBorders>
              <w:top w:val="single" w:sz="4" w:space="0" w:color="auto"/>
              <w:bottom w:val="single" w:sz="4" w:space="0" w:color="auto"/>
            </w:tcBorders>
            <w:vAlign w:val="bottom"/>
          </w:tcPr>
          <w:p w14:paraId="436DD187" w14:textId="2D314144" w:rsidR="002304BE" w:rsidRPr="00C80F8E" w:rsidRDefault="00607007" w:rsidP="003B0711">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2304BE" w:rsidRPr="00C80F8E" w14:paraId="4EF5F523" w14:textId="77777777" w:rsidTr="000D78C5">
        <w:trPr>
          <w:trHeight w:val="258"/>
        </w:trPr>
        <w:tc>
          <w:tcPr>
            <w:tcW w:w="4867" w:type="dxa"/>
            <w:tcBorders>
              <w:top w:val="single" w:sz="4" w:space="0" w:color="auto"/>
              <w:left w:val="single" w:sz="4" w:space="0" w:color="auto"/>
              <w:bottom w:val="single" w:sz="4" w:space="0" w:color="auto"/>
              <w:right w:val="single" w:sz="4" w:space="0" w:color="auto"/>
            </w:tcBorders>
          </w:tcPr>
          <w:p w14:paraId="06AFEE97" w14:textId="0433A001" w:rsidR="002304BE" w:rsidRPr="00C80F8E" w:rsidRDefault="00C768EA" w:rsidP="003B0711">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Equipo de Generación </w:t>
            </w:r>
            <w:r w:rsidR="00A15A16" w:rsidRPr="00C80F8E">
              <w:rPr>
                <w:rFonts w:ascii="Abadi" w:hAnsi="Abadi" w:cstheme="minorHAnsi"/>
                <w:bCs/>
                <w:sz w:val="20"/>
                <w:szCs w:val="20"/>
                <w:lang w:val="es-ES_tradnl"/>
              </w:rPr>
              <w:t>Eléctrica, Aparatos y A.</w:t>
            </w:r>
          </w:p>
        </w:tc>
        <w:tc>
          <w:tcPr>
            <w:tcW w:w="2257" w:type="dxa"/>
            <w:tcBorders>
              <w:top w:val="single" w:sz="4" w:space="0" w:color="auto"/>
              <w:left w:val="single" w:sz="4" w:space="0" w:color="auto"/>
              <w:bottom w:val="single" w:sz="12" w:space="0" w:color="auto"/>
              <w:right w:val="nil"/>
            </w:tcBorders>
            <w:vAlign w:val="bottom"/>
          </w:tcPr>
          <w:p w14:paraId="2660BAE6" w14:textId="2EE221F0" w:rsidR="002304BE" w:rsidRPr="00C80F8E" w:rsidRDefault="00A15A16" w:rsidP="003B0711">
            <w:pPr>
              <w:jc w:val="right"/>
              <w:rPr>
                <w:rFonts w:ascii="Abadi" w:hAnsi="Abadi" w:cstheme="minorHAnsi"/>
                <w:sz w:val="20"/>
                <w:szCs w:val="20"/>
                <w:lang w:val="es-ES_tradnl"/>
              </w:rPr>
            </w:pPr>
            <w:r w:rsidRPr="00C80F8E">
              <w:rPr>
                <w:rFonts w:ascii="Abadi" w:hAnsi="Abadi" w:cstheme="minorHAnsi"/>
                <w:sz w:val="20"/>
                <w:szCs w:val="20"/>
                <w:lang w:val="es-ES_tradnl"/>
              </w:rPr>
              <w:t>2</w:t>
            </w:r>
            <w:r w:rsidR="00B9317F" w:rsidRPr="00C80F8E">
              <w:rPr>
                <w:rFonts w:ascii="Abadi" w:hAnsi="Abadi" w:cstheme="minorHAnsi"/>
                <w:sz w:val="20"/>
                <w:szCs w:val="20"/>
                <w:lang w:val="es-ES_tradnl"/>
              </w:rPr>
              <w:t>,</w:t>
            </w:r>
            <w:r w:rsidRPr="00C80F8E">
              <w:rPr>
                <w:rFonts w:ascii="Abadi" w:hAnsi="Abadi" w:cstheme="minorHAnsi"/>
                <w:sz w:val="20"/>
                <w:szCs w:val="20"/>
                <w:lang w:val="es-ES_tradnl"/>
              </w:rPr>
              <w:t>793</w:t>
            </w:r>
            <w:r w:rsidR="00B9317F" w:rsidRPr="00C80F8E">
              <w:rPr>
                <w:rFonts w:ascii="Abadi" w:hAnsi="Abadi" w:cstheme="minorHAnsi"/>
                <w:sz w:val="20"/>
                <w:szCs w:val="20"/>
                <w:lang w:val="es-ES_tradnl"/>
              </w:rPr>
              <w:t>,850.36</w:t>
            </w:r>
          </w:p>
        </w:tc>
        <w:tc>
          <w:tcPr>
            <w:tcW w:w="2114" w:type="dxa"/>
            <w:tcBorders>
              <w:top w:val="single" w:sz="4" w:space="0" w:color="auto"/>
              <w:bottom w:val="single" w:sz="12" w:space="0" w:color="auto"/>
            </w:tcBorders>
            <w:vAlign w:val="bottom"/>
          </w:tcPr>
          <w:p w14:paraId="67EECB31" w14:textId="2B619548" w:rsidR="002304BE" w:rsidRPr="00C80F8E" w:rsidRDefault="00607007" w:rsidP="003B0711">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3B0711" w:rsidRPr="00C80F8E" w14:paraId="66B8C52D" w14:textId="77777777" w:rsidTr="000D78C5">
        <w:trPr>
          <w:trHeight w:val="258"/>
        </w:trPr>
        <w:tc>
          <w:tcPr>
            <w:tcW w:w="4867" w:type="dxa"/>
            <w:tcBorders>
              <w:top w:val="single" w:sz="4" w:space="0" w:color="auto"/>
              <w:right w:val="single" w:sz="2" w:space="0" w:color="auto"/>
            </w:tcBorders>
          </w:tcPr>
          <w:p w14:paraId="6019E472" w14:textId="2436BE30" w:rsidR="003B0711" w:rsidRPr="00C80F8E" w:rsidRDefault="003B0711" w:rsidP="003B0711">
            <w:p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Total, </w:t>
            </w:r>
          </w:p>
        </w:tc>
        <w:tc>
          <w:tcPr>
            <w:tcW w:w="2257" w:type="dxa"/>
            <w:tcBorders>
              <w:top w:val="single" w:sz="12" w:space="0" w:color="auto"/>
              <w:left w:val="single" w:sz="2" w:space="0" w:color="auto"/>
              <w:bottom w:val="single" w:sz="2" w:space="0" w:color="auto"/>
              <w:right w:val="single" w:sz="2" w:space="0" w:color="auto"/>
            </w:tcBorders>
            <w:vAlign w:val="bottom"/>
          </w:tcPr>
          <w:p w14:paraId="5C5DE605" w14:textId="3812CDC9" w:rsidR="003B0711" w:rsidRPr="00C80F8E" w:rsidRDefault="003B7757" w:rsidP="003B0711">
            <w:pPr>
              <w:jc w:val="right"/>
              <w:rPr>
                <w:rFonts w:ascii="Abadi" w:hAnsi="Abadi" w:cstheme="minorHAnsi"/>
                <w:b/>
                <w:bCs/>
                <w:sz w:val="20"/>
                <w:szCs w:val="20"/>
                <w:lang w:val="es-ES_tradnl"/>
              </w:rPr>
            </w:pPr>
            <w:r w:rsidRPr="00C80F8E">
              <w:rPr>
                <w:rFonts w:ascii="Abadi" w:hAnsi="Abadi" w:cstheme="minorHAnsi"/>
                <w:b/>
                <w:bCs/>
                <w:sz w:val="20"/>
                <w:szCs w:val="20"/>
                <w:lang w:val="es-ES_tradnl"/>
              </w:rPr>
              <w:t>23,461,71</w:t>
            </w:r>
            <w:r w:rsidR="000C4F6B">
              <w:rPr>
                <w:rFonts w:ascii="Abadi" w:hAnsi="Abadi" w:cstheme="minorHAnsi"/>
                <w:b/>
                <w:bCs/>
                <w:sz w:val="20"/>
                <w:szCs w:val="20"/>
                <w:lang w:val="es-ES_tradnl"/>
              </w:rPr>
              <w:t>3</w:t>
            </w:r>
            <w:r w:rsidRPr="00C80F8E">
              <w:rPr>
                <w:rFonts w:ascii="Abadi" w:hAnsi="Abadi" w:cstheme="minorHAnsi"/>
                <w:b/>
                <w:bCs/>
                <w:sz w:val="20"/>
                <w:szCs w:val="20"/>
                <w:lang w:val="es-ES_tradnl"/>
              </w:rPr>
              <w:t>.</w:t>
            </w:r>
            <w:r w:rsidR="000C4F6B">
              <w:rPr>
                <w:rFonts w:ascii="Abadi" w:hAnsi="Abadi" w:cstheme="minorHAnsi"/>
                <w:b/>
                <w:bCs/>
                <w:sz w:val="20"/>
                <w:szCs w:val="20"/>
                <w:lang w:val="es-ES_tradnl"/>
              </w:rPr>
              <w:t>63</w:t>
            </w:r>
          </w:p>
        </w:tc>
        <w:tc>
          <w:tcPr>
            <w:tcW w:w="2114" w:type="dxa"/>
            <w:tcBorders>
              <w:top w:val="single" w:sz="12" w:space="0" w:color="auto"/>
              <w:left w:val="single" w:sz="2" w:space="0" w:color="auto"/>
              <w:bottom w:val="single" w:sz="4" w:space="0" w:color="auto"/>
            </w:tcBorders>
            <w:vAlign w:val="bottom"/>
          </w:tcPr>
          <w:p w14:paraId="194E2A48" w14:textId="58B8D5A8" w:rsidR="003B0711" w:rsidRPr="00C80F8E" w:rsidRDefault="00B42091" w:rsidP="003B0711">
            <w:pPr>
              <w:jc w:val="right"/>
              <w:rPr>
                <w:rFonts w:ascii="Abadi" w:hAnsi="Abadi" w:cstheme="minorHAnsi"/>
                <w:b/>
                <w:bCs/>
                <w:sz w:val="20"/>
                <w:szCs w:val="20"/>
                <w:lang w:val="es-ES_tradnl"/>
              </w:rPr>
            </w:pPr>
            <w:r w:rsidRPr="00C80F8E">
              <w:rPr>
                <w:rFonts w:ascii="Abadi" w:hAnsi="Abadi" w:cstheme="minorHAnsi"/>
                <w:b/>
                <w:bCs/>
                <w:sz w:val="20"/>
                <w:szCs w:val="20"/>
                <w:lang w:val="es-ES_tradnl"/>
              </w:rPr>
              <w:t>19,589,824.</w:t>
            </w:r>
            <w:r w:rsidR="00C36D74" w:rsidRPr="00C80F8E">
              <w:rPr>
                <w:rFonts w:ascii="Abadi" w:hAnsi="Abadi" w:cstheme="minorHAnsi"/>
                <w:b/>
                <w:bCs/>
                <w:sz w:val="20"/>
                <w:szCs w:val="20"/>
                <w:lang w:val="es-ES_tradnl"/>
              </w:rPr>
              <w:t>20</w:t>
            </w:r>
          </w:p>
        </w:tc>
      </w:tr>
      <w:tr w:rsidR="003B0711" w:rsidRPr="00C80F8E" w14:paraId="32013143" w14:textId="77777777" w:rsidTr="000D78C5">
        <w:trPr>
          <w:trHeight w:val="274"/>
        </w:trPr>
        <w:tc>
          <w:tcPr>
            <w:tcW w:w="4867" w:type="dxa"/>
          </w:tcPr>
          <w:p w14:paraId="597131F4" w14:textId="0FB207A7" w:rsidR="003B0711" w:rsidRPr="00C80F8E" w:rsidRDefault="003B0711" w:rsidP="003B0711">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Depreciación </w:t>
            </w:r>
          </w:p>
        </w:tc>
        <w:tc>
          <w:tcPr>
            <w:tcW w:w="2257" w:type="dxa"/>
            <w:tcBorders>
              <w:top w:val="single" w:sz="2" w:space="0" w:color="auto"/>
              <w:bottom w:val="single" w:sz="12" w:space="0" w:color="auto"/>
            </w:tcBorders>
            <w:vAlign w:val="bottom"/>
          </w:tcPr>
          <w:p w14:paraId="669638FA" w14:textId="54936FA0" w:rsidR="003B0711" w:rsidRPr="00C80F8E" w:rsidRDefault="007264ED" w:rsidP="003B0711">
            <w:pPr>
              <w:jc w:val="right"/>
              <w:rPr>
                <w:rFonts w:ascii="Abadi" w:hAnsi="Abadi" w:cstheme="minorHAnsi"/>
                <w:sz w:val="20"/>
                <w:szCs w:val="20"/>
                <w:lang w:val="es-ES_tradnl"/>
              </w:rPr>
            </w:pPr>
            <w:r w:rsidRPr="00C80F8E">
              <w:rPr>
                <w:rFonts w:ascii="Abadi" w:hAnsi="Abadi" w:cstheme="minorHAnsi"/>
                <w:sz w:val="20"/>
                <w:szCs w:val="20"/>
                <w:lang w:val="es-ES_tradnl"/>
              </w:rPr>
              <w:t>(</w:t>
            </w:r>
            <w:r w:rsidR="00C05802" w:rsidRPr="00C80F8E">
              <w:rPr>
                <w:rFonts w:ascii="Abadi" w:hAnsi="Abadi" w:cstheme="minorHAnsi"/>
                <w:sz w:val="20"/>
                <w:szCs w:val="20"/>
                <w:lang w:val="es-ES_tradnl"/>
              </w:rPr>
              <w:t>12,210,47</w:t>
            </w:r>
            <w:r w:rsidR="00E83AA0">
              <w:rPr>
                <w:rFonts w:ascii="Abadi" w:hAnsi="Abadi" w:cstheme="minorHAnsi"/>
                <w:sz w:val="20"/>
                <w:szCs w:val="20"/>
                <w:lang w:val="es-ES_tradnl"/>
              </w:rPr>
              <w:t>8</w:t>
            </w:r>
            <w:r w:rsidR="00C05802" w:rsidRPr="00C80F8E">
              <w:rPr>
                <w:rFonts w:ascii="Abadi" w:hAnsi="Abadi" w:cstheme="minorHAnsi"/>
                <w:sz w:val="20"/>
                <w:szCs w:val="20"/>
                <w:lang w:val="es-ES_tradnl"/>
              </w:rPr>
              <w:t>.3</w:t>
            </w:r>
            <w:r w:rsidR="00E83AA0">
              <w:rPr>
                <w:rFonts w:ascii="Abadi" w:hAnsi="Abadi" w:cstheme="minorHAnsi"/>
                <w:sz w:val="20"/>
                <w:szCs w:val="20"/>
                <w:lang w:val="es-ES_tradnl"/>
              </w:rPr>
              <w:t>7</w:t>
            </w:r>
            <w:r w:rsidR="00C05802" w:rsidRPr="00C80F8E">
              <w:rPr>
                <w:rFonts w:ascii="Abadi" w:hAnsi="Abadi" w:cstheme="minorHAnsi"/>
                <w:sz w:val="20"/>
                <w:szCs w:val="20"/>
                <w:lang w:val="es-ES_tradnl"/>
              </w:rPr>
              <w:t>)</w:t>
            </w:r>
          </w:p>
        </w:tc>
        <w:tc>
          <w:tcPr>
            <w:tcW w:w="2114" w:type="dxa"/>
            <w:tcBorders>
              <w:bottom w:val="single" w:sz="12" w:space="0" w:color="auto"/>
            </w:tcBorders>
            <w:vAlign w:val="bottom"/>
          </w:tcPr>
          <w:p w14:paraId="2C14B8C5" w14:textId="1B534FA4" w:rsidR="003B0711" w:rsidRPr="00C80F8E" w:rsidRDefault="003D5EC9" w:rsidP="003B0711">
            <w:pPr>
              <w:jc w:val="right"/>
              <w:rPr>
                <w:rFonts w:ascii="Abadi" w:hAnsi="Abadi" w:cstheme="minorHAnsi"/>
                <w:sz w:val="20"/>
                <w:szCs w:val="20"/>
                <w:lang w:val="es-ES_tradnl"/>
              </w:rPr>
            </w:pPr>
            <w:r w:rsidRPr="00C80F8E">
              <w:rPr>
                <w:rFonts w:ascii="Abadi" w:hAnsi="Abadi" w:cstheme="minorHAnsi"/>
                <w:sz w:val="20"/>
                <w:szCs w:val="20"/>
                <w:lang w:val="es-ES_tradnl"/>
              </w:rPr>
              <w:t>(</w:t>
            </w:r>
            <w:r w:rsidR="00326819" w:rsidRPr="00C80F8E">
              <w:rPr>
                <w:rFonts w:ascii="Abadi" w:hAnsi="Abadi" w:cstheme="minorHAnsi"/>
                <w:sz w:val="20"/>
                <w:szCs w:val="20"/>
                <w:lang w:val="es-ES_tradnl"/>
              </w:rPr>
              <w:t>10</w:t>
            </w:r>
            <w:r w:rsidR="00073274" w:rsidRPr="00C80F8E">
              <w:rPr>
                <w:rFonts w:ascii="Abadi" w:hAnsi="Abadi" w:cstheme="minorHAnsi"/>
                <w:sz w:val="20"/>
                <w:szCs w:val="20"/>
                <w:lang w:val="es-ES_tradnl"/>
              </w:rPr>
              <w:t>,</w:t>
            </w:r>
            <w:r w:rsidR="007167BE" w:rsidRPr="00C80F8E">
              <w:rPr>
                <w:rFonts w:ascii="Abadi" w:hAnsi="Abadi" w:cstheme="minorHAnsi"/>
                <w:sz w:val="20"/>
                <w:szCs w:val="20"/>
                <w:lang w:val="es-ES_tradnl"/>
              </w:rPr>
              <w:t>439</w:t>
            </w:r>
            <w:r w:rsidR="009F124C" w:rsidRPr="00C80F8E">
              <w:rPr>
                <w:rFonts w:ascii="Abadi" w:hAnsi="Abadi" w:cstheme="minorHAnsi"/>
                <w:sz w:val="20"/>
                <w:szCs w:val="20"/>
                <w:lang w:val="es-ES_tradnl"/>
              </w:rPr>
              <w:t>,459.37</w:t>
            </w:r>
            <w:r w:rsidR="000D78C5" w:rsidRPr="00C80F8E">
              <w:rPr>
                <w:rFonts w:ascii="Abadi" w:hAnsi="Abadi" w:cstheme="minorHAnsi"/>
                <w:sz w:val="20"/>
                <w:szCs w:val="20"/>
                <w:lang w:val="es-ES_tradnl"/>
              </w:rPr>
              <w:t>)</w:t>
            </w:r>
          </w:p>
        </w:tc>
      </w:tr>
      <w:tr w:rsidR="003B0711" w:rsidRPr="00C80F8E" w14:paraId="321B4638" w14:textId="77777777" w:rsidTr="000D78C5">
        <w:trPr>
          <w:trHeight w:val="258"/>
        </w:trPr>
        <w:tc>
          <w:tcPr>
            <w:tcW w:w="4867" w:type="dxa"/>
          </w:tcPr>
          <w:p w14:paraId="72CBAD0E" w14:textId="0E130D5D" w:rsidR="003B0711" w:rsidRPr="00C80F8E" w:rsidRDefault="003B0711" w:rsidP="003B0711">
            <w:pPr>
              <w:jc w:val="both"/>
              <w:rPr>
                <w:rFonts w:ascii="Abadi" w:hAnsi="Abadi" w:cstheme="minorHAnsi"/>
                <w:b/>
                <w:bCs/>
                <w:sz w:val="20"/>
                <w:szCs w:val="20"/>
                <w:lang w:val="es-ES_tradnl"/>
              </w:rPr>
            </w:pPr>
            <w:r w:rsidRPr="00C80F8E">
              <w:rPr>
                <w:rFonts w:ascii="Abadi" w:hAnsi="Abadi" w:cstheme="minorHAnsi"/>
                <w:b/>
                <w:bCs/>
                <w:sz w:val="20"/>
                <w:szCs w:val="20"/>
                <w:lang w:val="es-ES_tradnl"/>
              </w:rPr>
              <w:t xml:space="preserve">Total, de </w:t>
            </w:r>
            <w:r w:rsidR="00782091" w:rsidRPr="00C80F8E">
              <w:rPr>
                <w:rFonts w:ascii="Abadi" w:hAnsi="Abadi" w:cstheme="minorHAnsi"/>
                <w:b/>
                <w:bCs/>
                <w:sz w:val="20"/>
                <w:szCs w:val="20"/>
                <w:lang w:val="es-ES_tradnl"/>
              </w:rPr>
              <w:t>Equipos Varios y Repuestos</w:t>
            </w:r>
          </w:p>
        </w:tc>
        <w:tc>
          <w:tcPr>
            <w:tcW w:w="2257" w:type="dxa"/>
            <w:tcBorders>
              <w:top w:val="single" w:sz="12" w:space="0" w:color="auto"/>
              <w:bottom w:val="double" w:sz="4" w:space="0" w:color="auto"/>
            </w:tcBorders>
            <w:vAlign w:val="bottom"/>
          </w:tcPr>
          <w:p w14:paraId="0ABAEA80" w14:textId="00312D81" w:rsidR="003B0711" w:rsidRPr="00C80F8E" w:rsidRDefault="00026434" w:rsidP="003B0711">
            <w:pPr>
              <w:jc w:val="right"/>
              <w:rPr>
                <w:rFonts w:ascii="Abadi" w:hAnsi="Abadi" w:cstheme="minorHAnsi"/>
                <w:b/>
                <w:bCs/>
                <w:sz w:val="20"/>
                <w:szCs w:val="20"/>
                <w:lang w:val="es-ES_tradnl"/>
              </w:rPr>
            </w:pPr>
            <w:r w:rsidRPr="00C80F8E">
              <w:rPr>
                <w:rFonts w:ascii="Abadi" w:hAnsi="Abadi" w:cstheme="minorHAnsi"/>
                <w:b/>
                <w:bCs/>
                <w:sz w:val="20"/>
                <w:szCs w:val="20"/>
                <w:lang w:val="es-ES_tradnl"/>
              </w:rPr>
              <w:t>11</w:t>
            </w:r>
            <w:r w:rsidR="00EE2FAB" w:rsidRPr="00C80F8E">
              <w:rPr>
                <w:rFonts w:ascii="Abadi" w:hAnsi="Abadi" w:cstheme="minorHAnsi"/>
                <w:b/>
                <w:bCs/>
                <w:sz w:val="20"/>
                <w:szCs w:val="20"/>
                <w:lang w:val="es-ES_tradnl"/>
              </w:rPr>
              <w:t>,</w:t>
            </w:r>
            <w:r w:rsidRPr="00C80F8E">
              <w:rPr>
                <w:rFonts w:ascii="Abadi" w:hAnsi="Abadi" w:cstheme="minorHAnsi"/>
                <w:b/>
                <w:bCs/>
                <w:sz w:val="20"/>
                <w:szCs w:val="20"/>
                <w:lang w:val="es-ES_tradnl"/>
              </w:rPr>
              <w:t>251</w:t>
            </w:r>
            <w:r w:rsidR="00EE2FAB" w:rsidRPr="00C80F8E">
              <w:rPr>
                <w:rFonts w:ascii="Abadi" w:hAnsi="Abadi" w:cstheme="minorHAnsi"/>
                <w:b/>
                <w:bCs/>
                <w:sz w:val="20"/>
                <w:szCs w:val="20"/>
                <w:lang w:val="es-ES_tradnl"/>
              </w:rPr>
              <w:t>,23</w:t>
            </w:r>
            <w:r w:rsidR="000C4F6B">
              <w:rPr>
                <w:rFonts w:ascii="Abadi" w:hAnsi="Abadi" w:cstheme="minorHAnsi"/>
                <w:b/>
                <w:bCs/>
                <w:sz w:val="20"/>
                <w:szCs w:val="20"/>
                <w:lang w:val="es-ES_tradnl"/>
              </w:rPr>
              <w:t>5</w:t>
            </w:r>
            <w:r w:rsidR="00EE2FAB" w:rsidRPr="00C80F8E">
              <w:rPr>
                <w:rFonts w:ascii="Abadi" w:hAnsi="Abadi" w:cstheme="minorHAnsi"/>
                <w:b/>
                <w:bCs/>
                <w:sz w:val="20"/>
                <w:szCs w:val="20"/>
                <w:lang w:val="es-ES_tradnl"/>
              </w:rPr>
              <w:t>.</w:t>
            </w:r>
            <w:r w:rsidR="000C4F6B">
              <w:rPr>
                <w:rFonts w:ascii="Abadi" w:hAnsi="Abadi" w:cstheme="minorHAnsi"/>
                <w:b/>
                <w:bCs/>
                <w:sz w:val="20"/>
                <w:szCs w:val="20"/>
                <w:lang w:val="es-ES_tradnl"/>
              </w:rPr>
              <w:t>26</w:t>
            </w:r>
          </w:p>
        </w:tc>
        <w:tc>
          <w:tcPr>
            <w:tcW w:w="2114" w:type="dxa"/>
            <w:tcBorders>
              <w:top w:val="single" w:sz="12" w:space="0" w:color="auto"/>
              <w:bottom w:val="double" w:sz="4" w:space="0" w:color="auto"/>
            </w:tcBorders>
            <w:vAlign w:val="bottom"/>
          </w:tcPr>
          <w:p w14:paraId="3FC2E014" w14:textId="6B66EC52" w:rsidR="003B0711" w:rsidRPr="00C80F8E" w:rsidRDefault="00122FD8" w:rsidP="00217427">
            <w:pPr>
              <w:jc w:val="right"/>
              <w:rPr>
                <w:rFonts w:ascii="Abadi" w:hAnsi="Abadi" w:cstheme="minorHAnsi"/>
                <w:b/>
                <w:bCs/>
                <w:sz w:val="20"/>
                <w:szCs w:val="20"/>
                <w:lang w:val="es-ES_tradnl"/>
              </w:rPr>
            </w:pPr>
            <w:r w:rsidRPr="00C80F8E">
              <w:rPr>
                <w:rFonts w:ascii="Abadi" w:hAnsi="Abadi" w:cstheme="minorHAnsi"/>
                <w:b/>
                <w:bCs/>
                <w:sz w:val="20"/>
                <w:szCs w:val="20"/>
                <w:lang w:val="es-ES_tradnl"/>
              </w:rPr>
              <w:t>9,150,364.83</w:t>
            </w:r>
          </w:p>
        </w:tc>
      </w:tr>
    </w:tbl>
    <w:p w14:paraId="128CEF5F" w14:textId="77777777" w:rsidR="00801645" w:rsidRPr="00C80F8E" w:rsidRDefault="00801645" w:rsidP="007B3211">
      <w:pPr>
        <w:spacing w:line="240" w:lineRule="auto"/>
        <w:contextualSpacing/>
        <w:jc w:val="both"/>
        <w:rPr>
          <w:rFonts w:ascii="Abadi" w:hAnsi="Abadi" w:cstheme="minorHAnsi"/>
          <w:b/>
          <w:iCs/>
          <w:sz w:val="20"/>
          <w:szCs w:val="20"/>
          <w:lang w:val="es-ES_tradnl"/>
        </w:rPr>
      </w:pPr>
    </w:p>
    <w:p w14:paraId="01A12687" w14:textId="314E220A" w:rsidR="006A795F" w:rsidRPr="00C80F8E" w:rsidRDefault="003C18A4" w:rsidP="003C18A4">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12.7 Obra</w:t>
      </w:r>
      <w:r w:rsidR="003F5C07" w:rsidRPr="00C80F8E">
        <w:rPr>
          <w:rFonts w:ascii="Abadi" w:hAnsi="Abadi" w:cstheme="minorHAnsi"/>
          <w:b/>
          <w:iCs/>
          <w:sz w:val="20"/>
          <w:szCs w:val="20"/>
          <w:lang w:val="es-ES_tradnl"/>
        </w:rPr>
        <w:t xml:space="preserve"> de Arte</w:t>
      </w:r>
    </w:p>
    <w:p w14:paraId="58723B4F" w14:textId="77777777" w:rsidR="009A3A89" w:rsidRPr="00C80F8E" w:rsidRDefault="009A3A89" w:rsidP="009A3A89">
      <w:pPr>
        <w:spacing w:line="276"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Al 30 de junio de 2025, el valor en libros de las obras de arte clasificadas como construcciones se mantuvo en RD$2,597,093.00, sin presentar variación respecto al saldo registrado al 30 de junio de 2024. Por tanto, no se reporta variación absoluta ni relativa en esta partida.</w:t>
      </w:r>
    </w:p>
    <w:p w14:paraId="315A22C3" w14:textId="77777777" w:rsidR="009A3A89" w:rsidRDefault="009A3A89" w:rsidP="009A3A89">
      <w:pPr>
        <w:spacing w:line="276"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lastRenderedPageBreak/>
        <w:t>Durante el ejercicio 2024, se habían registrado adiciones por RD$29,500.00, lo que elevó el valor bruto de RD$2,567,593.00 a RD$2,597,093.00, saldo que permanece inalterado en 2025.</w:t>
      </w:r>
    </w:p>
    <w:tbl>
      <w:tblPr>
        <w:tblStyle w:val="Tablaconcuadrcula"/>
        <w:tblW w:w="0" w:type="auto"/>
        <w:tblInd w:w="66" w:type="dxa"/>
        <w:tblLook w:val="04A0" w:firstRow="1" w:lastRow="0" w:firstColumn="1" w:lastColumn="0" w:noHBand="0" w:noVBand="1"/>
      </w:tblPr>
      <w:tblGrid>
        <w:gridCol w:w="4867"/>
        <w:gridCol w:w="2257"/>
        <w:gridCol w:w="2114"/>
      </w:tblGrid>
      <w:tr w:rsidR="003C18A4" w:rsidRPr="00C80F8E" w14:paraId="324C6F78" w14:textId="77777777" w:rsidTr="00527E73">
        <w:trPr>
          <w:trHeight w:val="258"/>
        </w:trPr>
        <w:tc>
          <w:tcPr>
            <w:tcW w:w="4867" w:type="dxa"/>
            <w:shd w:val="clear" w:color="auto" w:fill="0070C0"/>
          </w:tcPr>
          <w:p w14:paraId="5FB63140" w14:textId="77777777" w:rsidR="003C18A4" w:rsidRPr="00C80F8E" w:rsidRDefault="003C18A4" w:rsidP="00527E73">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Construcción</w:t>
            </w:r>
          </w:p>
        </w:tc>
        <w:tc>
          <w:tcPr>
            <w:tcW w:w="2257" w:type="dxa"/>
            <w:tcBorders>
              <w:bottom w:val="single" w:sz="4" w:space="0" w:color="auto"/>
            </w:tcBorders>
            <w:shd w:val="clear" w:color="auto" w:fill="0070C0"/>
          </w:tcPr>
          <w:p w14:paraId="6B8C46A1" w14:textId="77777777" w:rsidR="003C18A4" w:rsidRPr="00C80F8E" w:rsidRDefault="003C18A4" w:rsidP="00527E73">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14" w:type="dxa"/>
            <w:tcBorders>
              <w:bottom w:val="single" w:sz="4" w:space="0" w:color="auto"/>
            </w:tcBorders>
            <w:shd w:val="clear" w:color="auto" w:fill="0070C0"/>
          </w:tcPr>
          <w:p w14:paraId="7F7E7B48" w14:textId="77777777" w:rsidR="003C18A4" w:rsidRPr="00C80F8E" w:rsidRDefault="003C18A4" w:rsidP="00527E73">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3C18A4" w:rsidRPr="00C80F8E" w14:paraId="0774AA4E" w14:textId="77777777" w:rsidTr="00527E73">
        <w:trPr>
          <w:trHeight w:val="274"/>
        </w:trPr>
        <w:tc>
          <w:tcPr>
            <w:tcW w:w="4867" w:type="dxa"/>
          </w:tcPr>
          <w:p w14:paraId="395D213E" w14:textId="4F92FF02" w:rsidR="003C18A4" w:rsidRPr="00C80F8E" w:rsidRDefault="003C18A4" w:rsidP="00527E73">
            <w:pPr>
              <w:jc w:val="both"/>
              <w:rPr>
                <w:rFonts w:ascii="Abadi" w:hAnsi="Abadi" w:cstheme="minorHAnsi"/>
                <w:sz w:val="20"/>
                <w:szCs w:val="20"/>
                <w:lang w:val="es-ES_tradnl"/>
              </w:rPr>
            </w:pPr>
            <w:r w:rsidRPr="00C80F8E">
              <w:rPr>
                <w:rFonts w:ascii="Abadi" w:hAnsi="Abadi" w:cstheme="minorHAnsi"/>
                <w:bCs/>
                <w:sz w:val="20"/>
                <w:szCs w:val="20"/>
                <w:lang w:val="es-ES_tradnl"/>
              </w:rPr>
              <w:t>Obra</w:t>
            </w:r>
            <w:r w:rsidR="00C44438" w:rsidRPr="00C80F8E">
              <w:rPr>
                <w:rFonts w:ascii="Abadi" w:hAnsi="Abadi" w:cstheme="minorHAnsi"/>
                <w:bCs/>
                <w:sz w:val="20"/>
                <w:szCs w:val="20"/>
                <w:lang w:val="es-ES_tradnl"/>
              </w:rPr>
              <w:t xml:space="preserve"> de Arte</w:t>
            </w:r>
          </w:p>
        </w:tc>
        <w:tc>
          <w:tcPr>
            <w:tcW w:w="2257" w:type="dxa"/>
            <w:tcBorders>
              <w:bottom w:val="single" w:sz="4" w:space="0" w:color="auto"/>
            </w:tcBorders>
            <w:vAlign w:val="bottom"/>
          </w:tcPr>
          <w:p w14:paraId="44D10869" w14:textId="6918562F" w:rsidR="003C18A4" w:rsidRPr="00C80F8E" w:rsidRDefault="00444749" w:rsidP="00527E73">
            <w:pPr>
              <w:jc w:val="right"/>
              <w:rPr>
                <w:rFonts w:ascii="Abadi" w:hAnsi="Abadi" w:cstheme="minorHAnsi"/>
                <w:sz w:val="20"/>
                <w:szCs w:val="20"/>
                <w:lang w:val="es-ES_tradnl"/>
              </w:rPr>
            </w:pPr>
            <w:r w:rsidRPr="00C80F8E">
              <w:rPr>
                <w:rFonts w:ascii="Abadi" w:hAnsi="Abadi" w:cstheme="minorHAnsi"/>
                <w:sz w:val="20"/>
                <w:szCs w:val="20"/>
                <w:lang w:val="es-ES_tradnl"/>
              </w:rPr>
              <w:t>2</w:t>
            </w:r>
            <w:r w:rsidR="004B5E74" w:rsidRPr="00C80F8E">
              <w:rPr>
                <w:rFonts w:ascii="Abadi" w:hAnsi="Abadi" w:cstheme="minorHAnsi"/>
                <w:sz w:val="20"/>
                <w:szCs w:val="20"/>
                <w:lang w:val="es-ES_tradnl"/>
              </w:rPr>
              <w:t>,</w:t>
            </w:r>
            <w:r w:rsidRPr="00C80F8E">
              <w:rPr>
                <w:rFonts w:ascii="Abadi" w:hAnsi="Abadi" w:cstheme="minorHAnsi"/>
                <w:sz w:val="20"/>
                <w:szCs w:val="20"/>
                <w:lang w:val="es-ES_tradnl"/>
              </w:rPr>
              <w:t>597</w:t>
            </w:r>
            <w:r w:rsidR="004B5E74" w:rsidRPr="00C80F8E">
              <w:rPr>
                <w:rFonts w:ascii="Abadi" w:hAnsi="Abadi" w:cstheme="minorHAnsi"/>
                <w:sz w:val="20"/>
                <w:szCs w:val="20"/>
                <w:lang w:val="es-ES_tradnl"/>
              </w:rPr>
              <w:t>,</w:t>
            </w:r>
            <w:r w:rsidRPr="00C80F8E">
              <w:rPr>
                <w:rFonts w:ascii="Abadi" w:hAnsi="Abadi" w:cstheme="minorHAnsi"/>
                <w:sz w:val="20"/>
                <w:szCs w:val="20"/>
                <w:lang w:val="es-ES_tradnl"/>
              </w:rPr>
              <w:t>09</w:t>
            </w:r>
            <w:r w:rsidR="00875B3A" w:rsidRPr="00C80F8E">
              <w:rPr>
                <w:rFonts w:ascii="Abadi" w:hAnsi="Abadi" w:cstheme="minorHAnsi"/>
                <w:sz w:val="20"/>
                <w:szCs w:val="20"/>
                <w:lang w:val="es-ES_tradnl"/>
              </w:rPr>
              <w:t>3.00</w:t>
            </w:r>
          </w:p>
        </w:tc>
        <w:tc>
          <w:tcPr>
            <w:tcW w:w="2114" w:type="dxa"/>
            <w:tcBorders>
              <w:bottom w:val="single" w:sz="4" w:space="0" w:color="auto"/>
            </w:tcBorders>
            <w:vAlign w:val="bottom"/>
          </w:tcPr>
          <w:p w14:paraId="223C8986" w14:textId="7DFFE20A" w:rsidR="003C18A4" w:rsidRPr="00C80F8E" w:rsidRDefault="00C44438" w:rsidP="00527E73">
            <w:pPr>
              <w:jc w:val="right"/>
              <w:rPr>
                <w:rFonts w:ascii="Abadi" w:hAnsi="Abadi" w:cstheme="minorHAnsi"/>
                <w:sz w:val="20"/>
                <w:szCs w:val="20"/>
                <w:lang w:val="es-ES_tradnl"/>
              </w:rPr>
            </w:pPr>
            <w:r w:rsidRPr="00C80F8E">
              <w:rPr>
                <w:rFonts w:ascii="Abadi" w:hAnsi="Abadi" w:cstheme="minorHAnsi"/>
                <w:sz w:val="20"/>
                <w:szCs w:val="20"/>
                <w:lang w:val="es-ES_tradnl"/>
              </w:rPr>
              <w:t>2,567,593.00</w:t>
            </w:r>
          </w:p>
        </w:tc>
      </w:tr>
      <w:tr w:rsidR="003C18A4" w:rsidRPr="00C80F8E" w14:paraId="26ADE6E5" w14:textId="77777777" w:rsidTr="00527E73">
        <w:trPr>
          <w:trHeight w:val="258"/>
        </w:trPr>
        <w:tc>
          <w:tcPr>
            <w:tcW w:w="4867" w:type="dxa"/>
          </w:tcPr>
          <w:p w14:paraId="21B636E6" w14:textId="734EBBC7" w:rsidR="003C18A4" w:rsidRPr="00C80F8E" w:rsidRDefault="003D1FDE" w:rsidP="00527E73">
            <w:pPr>
              <w:jc w:val="both"/>
              <w:rPr>
                <w:rFonts w:ascii="Abadi" w:hAnsi="Abadi" w:cstheme="minorHAnsi"/>
                <w:bCs/>
                <w:sz w:val="20"/>
                <w:szCs w:val="20"/>
                <w:lang w:val="es-ES_tradnl"/>
              </w:rPr>
            </w:pPr>
            <w:r w:rsidRPr="00C80F8E">
              <w:rPr>
                <w:rFonts w:ascii="Abadi" w:hAnsi="Abadi" w:cstheme="minorHAnsi"/>
                <w:bCs/>
                <w:sz w:val="20"/>
                <w:szCs w:val="20"/>
                <w:lang w:val="es-ES_tradnl"/>
              </w:rPr>
              <w:t>Adiciones</w:t>
            </w:r>
          </w:p>
        </w:tc>
        <w:tc>
          <w:tcPr>
            <w:tcW w:w="2257" w:type="dxa"/>
            <w:tcBorders>
              <w:bottom w:val="single" w:sz="12" w:space="0" w:color="auto"/>
            </w:tcBorders>
            <w:vAlign w:val="bottom"/>
          </w:tcPr>
          <w:p w14:paraId="6664D0BF" w14:textId="2CD01DFC" w:rsidR="003C18A4" w:rsidRPr="00C80F8E" w:rsidRDefault="004B5E74" w:rsidP="00527E73">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14" w:type="dxa"/>
            <w:tcBorders>
              <w:bottom w:val="single" w:sz="12" w:space="0" w:color="auto"/>
            </w:tcBorders>
            <w:vAlign w:val="bottom"/>
          </w:tcPr>
          <w:p w14:paraId="44A91C42" w14:textId="7A50DA9E" w:rsidR="003C18A4" w:rsidRPr="00C80F8E" w:rsidRDefault="00C44438" w:rsidP="00527E73">
            <w:pPr>
              <w:jc w:val="right"/>
              <w:rPr>
                <w:rFonts w:ascii="Abadi" w:hAnsi="Abadi" w:cstheme="minorHAnsi"/>
                <w:sz w:val="20"/>
                <w:szCs w:val="20"/>
                <w:lang w:val="es-ES_tradnl"/>
              </w:rPr>
            </w:pPr>
            <w:r w:rsidRPr="00C80F8E">
              <w:rPr>
                <w:rFonts w:ascii="Abadi" w:hAnsi="Abadi" w:cstheme="minorHAnsi"/>
                <w:sz w:val="20"/>
                <w:szCs w:val="20"/>
                <w:lang w:val="es-ES_tradnl"/>
              </w:rPr>
              <w:t>29,500.00</w:t>
            </w:r>
          </w:p>
        </w:tc>
      </w:tr>
      <w:tr w:rsidR="003C18A4" w:rsidRPr="00C80F8E" w14:paraId="658839AD" w14:textId="77777777" w:rsidTr="00527E73">
        <w:trPr>
          <w:trHeight w:val="258"/>
        </w:trPr>
        <w:tc>
          <w:tcPr>
            <w:tcW w:w="4867" w:type="dxa"/>
            <w:tcBorders>
              <w:right w:val="single" w:sz="2" w:space="0" w:color="auto"/>
            </w:tcBorders>
          </w:tcPr>
          <w:p w14:paraId="787FADA3" w14:textId="77777777" w:rsidR="003C18A4" w:rsidRPr="00C80F8E" w:rsidRDefault="003C18A4" w:rsidP="00527E73">
            <w:p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Total, </w:t>
            </w:r>
          </w:p>
        </w:tc>
        <w:tc>
          <w:tcPr>
            <w:tcW w:w="2257" w:type="dxa"/>
            <w:tcBorders>
              <w:top w:val="single" w:sz="12" w:space="0" w:color="auto"/>
              <w:left w:val="single" w:sz="2" w:space="0" w:color="auto"/>
              <w:bottom w:val="single" w:sz="2" w:space="0" w:color="auto"/>
              <w:right w:val="single" w:sz="2" w:space="0" w:color="auto"/>
            </w:tcBorders>
            <w:vAlign w:val="bottom"/>
          </w:tcPr>
          <w:p w14:paraId="55354D3C" w14:textId="7AD83061" w:rsidR="003C18A4" w:rsidRPr="00C80F8E" w:rsidRDefault="004B5E74" w:rsidP="00527E73">
            <w:pPr>
              <w:jc w:val="right"/>
              <w:rPr>
                <w:rFonts w:ascii="Abadi" w:hAnsi="Abadi" w:cstheme="minorHAnsi"/>
                <w:b/>
                <w:bCs/>
                <w:sz w:val="20"/>
                <w:szCs w:val="20"/>
                <w:lang w:val="es-ES_tradnl"/>
              </w:rPr>
            </w:pPr>
            <w:r w:rsidRPr="00C80F8E">
              <w:rPr>
                <w:rFonts w:ascii="Abadi" w:hAnsi="Abadi" w:cstheme="minorHAnsi"/>
                <w:b/>
                <w:bCs/>
                <w:sz w:val="20"/>
                <w:szCs w:val="20"/>
                <w:lang w:val="es-ES_tradnl"/>
              </w:rPr>
              <w:t>2,597,09</w:t>
            </w:r>
            <w:r w:rsidR="00875B3A" w:rsidRPr="00C80F8E">
              <w:rPr>
                <w:rFonts w:ascii="Abadi" w:hAnsi="Abadi" w:cstheme="minorHAnsi"/>
                <w:b/>
                <w:bCs/>
                <w:sz w:val="20"/>
                <w:szCs w:val="20"/>
                <w:lang w:val="es-ES_tradnl"/>
              </w:rPr>
              <w:t>3.00</w:t>
            </w:r>
          </w:p>
        </w:tc>
        <w:tc>
          <w:tcPr>
            <w:tcW w:w="2114" w:type="dxa"/>
            <w:tcBorders>
              <w:top w:val="single" w:sz="12" w:space="0" w:color="auto"/>
              <w:left w:val="single" w:sz="2" w:space="0" w:color="auto"/>
              <w:bottom w:val="single" w:sz="4" w:space="0" w:color="auto"/>
            </w:tcBorders>
            <w:vAlign w:val="bottom"/>
          </w:tcPr>
          <w:p w14:paraId="78E0DCEC" w14:textId="6F6F39D6" w:rsidR="003C18A4" w:rsidRPr="00C80F8E" w:rsidRDefault="00C44438" w:rsidP="00527E73">
            <w:pPr>
              <w:jc w:val="right"/>
              <w:rPr>
                <w:rFonts w:ascii="Abadi" w:hAnsi="Abadi" w:cstheme="minorHAnsi"/>
                <w:b/>
                <w:bCs/>
                <w:sz w:val="20"/>
                <w:szCs w:val="20"/>
                <w:lang w:val="es-ES_tradnl"/>
              </w:rPr>
            </w:pPr>
            <w:r w:rsidRPr="00C80F8E">
              <w:rPr>
                <w:rFonts w:ascii="Abadi" w:hAnsi="Abadi" w:cstheme="minorHAnsi"/>
                <w:b/>
                <w:bCs/>
                <w:sz w:val="20"/>
                <w:szCs w:val="20"/>
                <w:lang w:val="es-ES_tradnl"/>
              </w:rPr>
              <w:t>2,597,093.00</w:t>
            </w:r>
          </w:p>
        </w:tc>
      </w:tr>
      <w:tr w:rsidR="003C18A4" w:rsidRPr="00C80F8E" w14:paraId="789A4CF7" w14:textId="77777777" w:rsidTr="00527E73">
        <w:trPr>
          <w:trHeight w:val="274"/>
        </w:trPr>
        <w:tc>
          <w:tcPr>
            <w:tcW w:w="4867" w:type="dxa"/>
          </w:tcPr>
          <w:p w14:paraId="36198A13" w14:textId="77777777" w:rsidR="003C18A4" w:rsidRPr="00C80F8E" w:rsidRDefault="003C18A4" w:rsidP="00527E73">
            <w:pPr>
              <w:jc w:val="both"/>
              <w:rPr>
                <w:rFonts w:ascii="Abadi" w:hAnsi="Abadi" w:cstheme="minorHAnsi"/>
                <w:bCs/>
                <w:sz w:val="20"/>
                <w:szCs w:val="20"/>
                <w:lang w:val="es-ES_tradnl"/>
              </w:rPr>
            </w:pPr>
            <w:r w:rsidRPr="00C80F8E">
              <w:rPr>
                <w:rFonts w:ascii="Abadi" w:hAnsi="Abadi" w:cstheme="minorHAnsi"/>
                <w:bCs/>
                <w:sz w:val="20"/>
                <w:szCs w:val="20"/>
                <w:lang w:val="es-ES_tradnl"/>
              </w:rPr>
              <w:t>Depreciación</w:t>
            </w:r>
          </w:p>
        </w:tc>
        <w:tc>
          <w:tcPr>
            <w:tcW w:w="2257" w:type="dxa"/>
            <w:tcBorders>
              <w:top w:val="single" w:sz="2" w:space="0" w:color="auto"/>
              <w:bottom w:val="single" w:sz="12" w:space="0" w:color="auto"/>
            </w:tcBorders>
            <w:vAlign w:val="bottom"/>
          </w:tcPr>
          <w:p w14:paraId="0CD2C7C8" w14:textId="6017C801" w:rsidR="003C18A4" w:rsidRPr="00C80F8E" w:rsidRDefault="002B0625" w:rsidP="00527E73">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14" w:type="dxa"/>
            <w:tcBorders>
              <w:bottom w:val="single" w:sz="12" w:space="0" w:color="auto"/>
            </w:tcBorders>
            <w:vAlign w:val="bottom"/>
          </w:tcPr>
          <w:p w14:paraId="0D470512" w14:textId="77777777" w:rsidR="003C18A4" w:rsidRPr="00C80F8E" w:rsidRDefault="003C18A4" w:rsidP="00527E73">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3C18A4" w:rsidRPr="00C80F8E" w14:paraId="693ABDF8" w14:textId="77777777" w:rsidTr="00527E73">
        <w:trPr>
          <w:trHeight w:val="258"/>
        </w:trPr>
        <w:tc>
          <w:tcPr>
            <w:tcW w:w="4867" w:type="dxa"/>
          </w:tcPr>
          <w:p w14:paraId="5287A03B" w14:textId="77777777" w:rsidR="003C18A4" w:rsidRPr="00C80F8E" w:rsidRDefault="003C18A4" w:rsidP="00527E73">
            <w:pPr>
              <w:jc w:val="both"/>
              <w:rPr>
                <w:rFonts w:ascii="Abadi" w:hAnsi="Abadi" w:cstheme="minorHAnsi"/>
                <w:b/>
                <w:bCs/>
                <w:sz w:val="20"/>
                <w:szCs w:val="20"/>
                <w:lang w:val="es-ES_tradnl"/>
              </w:rPr>
            </w:pPr>
            <w:r w:rsidRPr="00C80F8E">
              <w:rPr>
                <w:rFonts w:ascii="Abadi" w:hAnsi="Abadi" w:cstheme="minorHAnsi"/>
                <w:b/>
                <w:bCs/>
                <w:sz w:val="20"/>
                <w:szCs w:val="20"/>
                <w:lang w:val="es-ES_tradnl"/>
              </w:rPr>
              <w:t>Total, de Construcción</w:t>
            </w:r>
          </w:p>
        </w:tc>
        <w:tc>
          <w:tcPr>
            <w:tcW w:w="2257" w:type="dxa"/>
            <w:tcBorders>
              <w:top w:val="single" w:sz="12" w:space="0" w:color="auto"/>
              <w:bottom w:val="double" w:sz="4" w:space="0" w:color="auto"/>
            </w:tcBorders>
            <w:vAlign w:val="bottom"/>
          </w:tcPr>
          <w:p w14:paraId="381AE50E" w14:textId="54AEBC8A" w:rsidR="003C18A4" w:rsidRPr="00C80F8E" w:rsidRDefault="002B0625" w:rsidP="00527E73">
            <w:pPr>
              <w:jc w:val="right"/>
              <w:rPr>
                <w:rFonts w:ascii="Abadi" w:hAnsi="Abadi" w:cstheme="minorHAnsi"/>
                <w:b/>
                <w:bCs/>
                <w:sz w:val="20"/>
                <w:szCs w:val="20"/>
                <w:lang w:val="es-ES_tradnl"/>
              </w:rPr>
            </w:pPr>
            <w:r w:rsidRPr="00C80F8E">
              <w:rPr>
                <w:rFonts w:ascii="Abadi" w:hAnsi="Abadi" w:cstheme="minorHAnsi"/>
                <w:b/>
                <w:bCs/>
                <w:sz w:val="20"/>
                <w:szCs w:val="20"/>
                <w:lang w:val="es-ES_tradnl"/>
              </w:rPr>
              <w:t>2,597,09</w:t>
            </w:r>
            <w:r w:rsidR="00875B3A" w:rsidRPr="00C80F8E">
              <w:rPr>
                <w:rFonts w:ascii="Abadi" w:hAnsi="Abadi" w:cstheme="minorHAnsi"/>
                <w:b/>
                <w:bCs/>
                <w:sz w:val="20"/>
                <w:szCs w:val="20"/>
                <w:lang w:val="es-ES_tradnl"/>
              </w:rPr>
              <w:t>3.00</w:t>
            </w:r>
          </w:p>
        </w:tc>
        <w:tc>
          <w:tcPr>
            <w:tcW w:w="2114" w:type="dxa"/>
            <w:tcBorders>
              <w:top w:val="single" w:sz="12" w:space="0" w:color="auto"/>
              <w:bottom w:val="double" w:sz="4" w:space="0" w:color="auto"/>
            </w:tcBorders>
            <w:vAlign w:val="bottom"/>
          </w:tcPr>
          <w:p w14:paraId="7AD219F5" w14:textId="7F57F544" w:rsidR="003C18A4" w:rsidRPr="00C80F8E" w:rsidRDefault="003F5C07" w:rsidP="00527E73">
            <w:pPr>
              <w:jc w:val="right"/>
              <w:rPr>
                <w:rFonts w:ascii="Abadi" w:hAnsi="Abadi" w:cstheme="minorHAnsi"/>
                <w:b/>
                <w:bCs/>
                <w:sz w:val="20"/>
                <w:szCs w:val="20"/>
                <w:lang w:val="es-ES_tradnl"/>
              </w:rPr>
            </w:pPr>
            <w:r w:rsidRPr="00C80F8E">
              <w:rPr>
                <w:rFonts w:ascii="Abadi" w:hAnsi="Abadi" w:cstheme="minorHAnsi"/>
                <w:b/>
                <w:bCs/>
                <w:sz w:val="20"/>
                <w:szCs w:val="20"/>
                <w:lang w:val="es-ES_tradnl"/>
              </w:rPr>
              <w:t>2,597,093.00</w:t>
            </w:r>
          </w:p>
        </w:tc>
      </w:tr>
    </w:tbl>
    <w:p w14:paraId="0D96B793" w14:textId="77777777" w:rsidR="003C18A4" w:rsidRPr="00C80F8E" w:rsidRDefault="003C18A4" w:rsidP="003C18A4">
      <w:pPr>
        <w:rPr>
          <w:rFonts w:ascii="Abadi" w:hAnsi="Abadi" w:cstheme="minorHAnsi"/>
          <w:iCs/>
          <w:sz w:val="20"/>
          <w:szCs w:val="20"/>
          <w:lang w:val="es-ES_tradnl"/>
        </w:rPr>
      </w:pPr>
    </w:p>
    <w:p w14:paraId="696E9F82" w14:textId="0D985A75" w:rsidR="006A795F" w:rsidRPr="00C80F8E" w:rsidRDefault="00E55F33" w:rsidP="008D4971">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1</w:t>
      </w:r>
      <w:r w:rsidR="001B6097" w:rsidRPr="00C80F8E">
        <w:rPr>
          <w:rFonts w:ascii="Abadi" w:hAnsi="Abadi" w:cstheme="minorHAnsi"/>
          <w:b/>
          <w:iCs/>
          <w:sz w:val="20"/>
          <w:szCs w:val="20"/>
          <w:lang w:val="es-ES_tradnl"/>
        </w:rPr>
        <w:t>2</w:t>
      </w:r>
      <w:r w:rsidRPr="00C80F8E">
        <w:rPr>
          <w:rFonts w:ascii="Abadi" w:hAnsi="Abadi" w:cstheme="minorHAnsi"/>
          <w:b/>
          <w:iCs/>
          <w:sz w:val="20"/>
          <w:szCs w:val="20"/>
          <w:lang w:val="es-ES_tradnl"/>
        </w:rPr>
        <w:t>.</w:t>
      </w:r>
      <w:r w:rsidR="003C18A4" w:rsidRPr="00C80F8E">
        <w:rPr>
          <w:rFonts w:ascii="Abadi" w:hAnsi="Abadi" w:cstheme="minorHAnsi"/>
          <w:b/>
          <w:iCs/>
          <w:sz w:val="20"/>
          <w:szCs w:val="20"/>
          <w:lang w:val="es-ES_tradnl"/>
        </w:rPr>
        <w:t>8</w:t>
      </w:r>
      <w:r w:rsidRPr="00C80F8E">
        <w:rPr>
          <w:rFonts w:ascii="Abadi" w:hAnsi="Abadi" w:cstheme="minorHAnsi"/>
          <w:b/>
          <w:iCs/>
          <w:sz w:val="20"/>
          <w:szCs w:val="20"/>
          <w:lang w:val="es-ES_tradnl"/>
        </w:rPr>
        <w:t xml:space="preserve"> </w:t>
      </w:r>
      <w:r w:rsidR="008D4971" w:rsidRPr="00C80F8E">
        <w:rPr>
          <w:rFonts w:ascii="Abadi" w:hAnsi="Abadi" w:cstheme="minorHAnsi"/>
          <w:b/>
          <w:iCs/>
          <w:sz w:val="20"/>
          <w:szCs w:val="20"/>
          <w:lang w:val="es-ES_tradnl"/>
        </w:rPr>
        <w:t>Obras, Construcciones y Mejoras en Proceso *</w:t>
      </w:r>
    </w:p>
    <w:p w14:paraId="2C2F6BDC" w14:textId="1994ABD3" w:rsidR="00E320A6" w:rsidRPr="00C80F8E" w:rsidRDefault="00385F74" w:rsidP="00385F74">
      <w:pPr>
        <w:spacing w:line="276"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rPr>
        <w:t>Al 30 de junio de 2025, el valor total registrado en la categoría de construcciones y mejoras ascendió a RD$37,779,409.77, en comparación con RD$31,781,959.59 al 30 de junio de 2024. Esta diferencia representa un incremento absoluto de RD$5,997,450.18 y una variación relativa positiva de 18.86%.</w:t>
      </w:r>
    </w:p>
    <w:tbl>
      <w:tblPr>
        <w:tblStyle w:val="Tablaconcuadrcula"/>
        <w:tblW w:w="0" w:type="auto"/>
        <w:tblInd w:w="66" w:type="dxa"/>
        <w:tblLook w:val="04A0" w:firstRow="1" w:lastRow="0" w:firstColumn="1" w:lastColumn="0" w:noHBand="0" w:noVBand="1"/>
      </w:tblPr>
      <w:tblGrid>
        <w:gridCol w:w="4867"/>
        <w:gridCol w:w="2257"/>
        <w:gridCol w:w="2114"/>
      </w:tblGrid>
      <w:tr w:rsidR="0048370A" w:rsidRPr="00C80F8E" w14:paraId="303E76EE" w14:textId="77777777" w:rsidTr="00F07000">
        <w:trPr>
          <w:trHeight w:val="258"/>
        </w:trPr>
        <w:tc>
          <w:tcPr>
            <w:tcW w:w="4867" w:type="dxa"/>
            <w:shd w:val="clear" w:color="auto" w:fill="0070C0"/>
          </w:tcPr>
          <w:p w14:paraId="2851688A" w14:textId="77777777" w:rsidR="0048370A" w:rsidRPr="00C80F8E" w:rsidRDefault="0048370A"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Construcción</w:t>
            </w:r>
          </w:p>
        </w:tc>
        <w:tc>
          <w:tcPr>
            <w:tcW w:w="2257" w:type="dxa"/>
            <w:tcBorders>
              <w:bottom w:val="single" w:sz="4" w:space="0" w:color="auto"/>
            </w:tcBorders>
            <w:shd w:val="clear" w:color="auto" w:fill="0070C0"/>
          </w:tcPr>
          <w:p w14:paraId="5624384B" w14:textId="7B2CF1D0" w:rsidR="0048370A" w:rsidRPr="00C80F8E" w:rsidRDefault="0048370A"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74764" w:rsidRPr="00C80F8E">
              <w:rPr>
                <w:rFonts w:ascii="Abadi" w:hAnsi="Abadi" w:cstheme="minorHAnsi"/>
                <w:b/>
                <w:bCs/>
                <w:color w:val="FFFFFF" w:themeColor="background1"/>
                <w:sz w:val="20"/>
                <w:szCs w:val="20"/>
                <w:lang w:val="es-ES_tradnl"/>
              </w:rPr>
              <w:t>5</w:t>
            </w:r>
          </w:p>
        </w:tc>
        <w:tc>
          <w:tcPr>
            <w:tcW w:w="2114" w:type="dxa"/>
            <w:tcBorders>
              <w:bottom w:val="single" w:sz="4" w:space="0" w:color="auto"/>
            </w:tcBorders>
            <w:shd w:val="clear" w:color="auto" w:fill="0070C0"/>
          </w:tcPr>
          <w:p w14:paraId="46907DFF" w14:textId="3B8ECBCC" w:rsidR="0048370A" w:rsidRPr="00C80F8E" w:rsidRDefault="0048370A"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74764" w:rsidRPr="00C80F8E">
              <w:rPr>
                <w:rFonts w:ascii="Abadi" w:hAnsi="Abadi" w:cstheme="minorHAnsi"/>
                <w:b/>
                <w:bCs/>
                <w:color w:val="FFFFFF" w:themeColor="background1"/>
                <w:sz w:val="20"/>
                <w:szCs w:val="20"/>
                <w:lang w:val="es-ES_tradnl"/>
              </w:rPr>
              <w:t>4</w:t>
            </w:r>
          </w:p>
        </w:tc>
      </w:tr>
      <w:tr w:rsidR="0048370A" w:rsidRPr="00C80F8E" w14:paraId="2118F6C1" w14:textId="77777777" w:rsidTr="00613A3B">
        <w:trPr>
          <w:trHeight w:val="274"/>
        </w:trPr>
        <w:tc>
          <w:tcPr>
            <w:tcW w:w="4867" w:type="dxa"/>
          </w:tcPr>
          <w:p w14:paraId="67655363" w14:textId="77777777" w:rsidR="0048370A" w:rsidRPr="00C80F8E" w:rsidRDefault="0048370A" w:rsidP="00DB69D9">
            <w:pPr>
              <w:jc w:val="both"/>
              <w:rPr>
                <w:rFonts w:ascii="Abadi" w:hAnsi="Abadi" w:cstheme="minorHAnsi"/>
                <w:sz w:val="20"/>
                <w:szCs w:val="20"/>
                <w:lang w:val="es-ES_tradnl"/>
              </w:rPr>
            </w:pPr>
            <w:r w:rsidRPr="00C80F8E">
              <w:rPr>
                <w:rFonts w:ascii="Abadi" w:hAnsi="Abadi" w:cstheme="minorHAnsi"/>
                <w:bCs/>
                <w:sz w:val="20"/>
                <w:szCs w:val="20"/>
                <w:lang w:val="es-ES_tradnl"/>
              </w:rPr>
              <w:t>Obras Construcciones y Mejoras en Proceso</w:t>
            </w:r>
          </w:p>
        </w:tc>
        <w:tc>
          <w:tcPr>
            <w:tcW w:w="2257" w:type="dxa"/>
            <w:tcBorders>
              <w:bottom w:val="single" w:sz="4" w:space="0" w:color="auto"/>
            </w:tcBorders>
            <w:vAlign w:val="bottom"/>
          </w:tcPr>
          <w:p w14:paraId="353CEF62" w14:textId="2206F4CC" w:rsidR="0048370A" w:rsidRPr="00C80F8E" w:rsidRDefault="000A1F23" w:rsidP="00DB69D9">
            <w:pPr>
              <w:jc w:val="right"/>
              <w:rPr>
                <w:rFonts w:ascii="Abadi" w:hAnsi="Abadi" w:cstheme="minorHAnsi"/>
                <w:sz w:val="20"/>
                <w:szCs w:val="20"/>
                <w:lang w:val="es-ES_tradnl"/>
              </w:rPr>
            </w:pPr>
            <w:r w:rsidRPr="00C80F8E">
              <w:rPr>
                <w:rFonts w:ascii="Abadi" w:hAnsi="Abadi" w:cstheme="minorHAnsi"/>
                <w:sz w:val="20"/>
                <w:szCs w:val="20"/>
                <w:lang w:val="es-ES_tradnl"/>
              </w:rPr>
              <w:t>23,337,417.23</w:t>
            </w:r>
          </w:p>
        </w:tc>
        <w:tc>
          <w:tcPr>
            <w:tcW w:w="2114" w:type="dxa"/>
            <w:tcBorders>
              <w:bottom w:val="single" w:sz="4" w:space="0" w:color="auto"/>
            </w:tcBorders>
            <w:vAlign w:val="bottom"/>
          </w:tcPr>
          <w:p w14:paraId="7DB84416" w14:textId="3BFF8180" w:rsidR="0048370A" w:rsidRPr="00C80F8E" w:rsidRDefault="00EA4D2E" w:rsidP="00DB69D9">
            <w:pPr>
              <w:jc w:val="right"/>
              <w:rPr>
                <w:rFonts w:ascii="Abadi" w:hAnsi="Abadi" w:cstheme="minorHAnsi"/>
                <w:sz w:val="20"/>
                <w:szCs w:val="20"/>
                <w:lang w:val="es-ES_tradnl"/>
              </w:rPr>
            </w:pPr>
            <w:r w:rsidRPr="00C80F8E">
              <w:rPr>
                <w:rFonts w:ascii="Abadi" w:hAnsi="Abadi" w:cstheme="minorHAnsi"/>
                <w:sz w:val="20"/>
                <w:szCs w:val="20"/>
                <w:lang w:val="es-ES_tradnl"/>
              </w:rPr>
              <w:t>31</w:t>
            </w:r>
            <w:r w:rsidR="00C3459F" w:rsidRPr="00C80F8E">
              <w:rPr>
                <w:rFonts w:ascii="Abadi" w:hAnsi="Abadi" w:cstheme="minorHAnsi"/>
                <w:sz w:val="20"/>
                <w:szCs w:val="20"/>
                <w:lang w:val="es-ES_tradnl"/>
              </w:rPr>
              <w:t>,</w:t>
            </w:r>
            <w:r w:rsidRPr="00C80F8E">
              <w:rPr>
                <w:rFonts w:ascii="Abadi" w:hAnsi="Abadi" w:cstheme="minorHAnsi"/>
                <w:sz w:val="20"/>
                <w:szCs w:val="20"/>
                <w:lang w:val="es-ES_tradnl"/>
              </w:rPr>
              <w:t>781</w:t>
            </w:r>
            <w:r w:rsidR="00C3459F" w:rsidRPr="00C80F8E">
              <w:rPr>
                <w:rFonts w:ascii="Abadi" w:hAnsi="Abadi" w:cstheme="minorHAnsi"/>
                <w:sz w:val="20"/>
                <w:szCs w:val="20"/>
                <w:lang w:val="es-ES_tradnl"/>
              </w:rPr>
              <w:t>,</w:t>
            </w:r>
            <w:r w:rsidRPr="00C80F8E">
              <w:rPr>
                <w:rFonts w:ascii="Abadi" w:hAnsi="Abadi" w:cstheme="minorHAnsi"/>
                <w:sz w:val="20"/>
                <w:szCs w:val="20"/>
                <w:lang w:val="es-ES_tradnl"/>
              </w:rPr>
              <w:t>959.59</w:t>
            </w:r>
          </w:p>
        </w:tc>
      </w:tr>
      <w:tr w:rsidR="0048370A" w:rsidRPr="00C80F8E" w14:paraId="4433E53A" w14:textId="77777777" w:rsidTr="00613A3B">
        <w:trPr>
          <w:trHeight w:val="258"/>
        </w:trPr>
        <w:tc>
          <w:tcPr>
            <w:tcW w:w="4867" w:type="dxa"/>
          </w:tcPr>
          <w:p w14:paraId="55BF2034" w14:textId="77777777" w:rsidR="0048370A" w:rsidRPr="00C80F8E" w:rsidRDefault="0048370A"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Obras para Edificaciones no Residenciales</w:t>
            </w:r>
          </w:p>
        </w:tc>
        <w:tc>
          <w:tcPr>
            <w:tcW w:w="2257" w:type="dxa"/>
            <w:tcBorders>
              <w:bottom w:val="single" w:sz="12" w:space="0" w:color="auto"/>
            </w:tcBorders>
            <w:vAlign w:val="bottom"/>
          </w:tcPr>
          <w:p w14:paraId="20435FC8" w14:textId="4742600E" w:rsidR="0048370A" w:rsidRPr="00C80F8E" w:rsidRDefault="000A1F23" w:rsidP="00DB69D9">
            <w:pPr>
              <w:jc w:val="right"/>
              <w:rPr>
                <w:rFonts w:ascii="Abadi" w:hAnsi="Abadi" w:cstheme="minorHAnsi"/>
                <w:sz w:val="20"/>
                <w:szCs w:val="20"/>
                <w:lang w:val="es-ES_tradnl"/>
              </w:rPr>
            </w:pPr>
            <w:r w:rsidRPr="00C80F8E">
              <w:rPr>
                <w:rFonts w:ascii="Abadi" w:hAnsi="Abadi" w:cstheme="minorHAnsi"/>
                <w:sz w:val="20"/>
                <w:szCs w:val="20"/>
                <w:lang w:val="es-ES_tradnl"/>
              </w:rPr>
              <w:t>14,441,992.54</w:t>
            </w:r>
          </w:p>
        </w:tc>
        <w:tc>
          <w:tcPr>
            <w:tcW w:w="2114" w:type="dxa"/>
            <w:tcBorders>
              <w:bottom w:val="single" w:sz="12" w:space="0" w:color="auto"/>
            </w:tcBorders>
            <w:vAlign w:val="bottom"/>
          </w:tcPr>
          <w:p w14:paraId="53BE3CEB" w14:textId="7395427B" w:rsidR="0048370A" w:rsidRPr="00C80F8E" w:rsidRDefault="00C3459F"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48370A" w:rsidRPr="00C80F8E" w14:paraId="43A6A644" w14:textId="77777777" w:rsidTr="00613A3B">
        <w:trPr>
          <w:trHeight w:val="258"/>
        </w:trPr>
        <w:tc>
          <w:tcPr>
            <w:tcW w:w="4867" w:type="dxa"/>
            <w:tcBorders>
              <w:right w:val="single" w:sz="2" w:space="0" w:color="auto"/>
            </w:tcBorders>
          </w:tcPr>
          <w:p w14:paraId="15EDC474" w14:textId="632B09DB" w:rsidR="0048370A" w:rsidRPr="00C80F8E" w:rsidRDefault="0048370A" w:rsidP="00DB69D9">
            <w:pPr>
              <w:jc w:val="both"/>
              <w:rPr>
                <w:rFonts w:ascii="Abadi" w:hAnsi="Abadi" w:cstheme="minorHAnsi"/>
                <w:b/>
                <w:sz w:val="20"/>
                <w:szCs w:val="20"/>
                <w:lang w:val="es-ES_tradnl"/>
              </w:rPr>
            </w:pPr>
            <w:r w:rsidRPr="00C80F8E">
              <w:rPr>
                <w:rFonts w:ascii="Abadi" w:hAnsi="Abadi" w:cstheme="minorHAnsi"/>
                <w:b/>
                <w:sz w:val="20"/>
                <w:szCs w:val="20"/>
                <w:lang w:val="es-ES_tradnl"/>
              </w:rPr>
              <w:t xml:space="preserve">Total, </w:t>
            </w:r>
          </w:p>
        </w:tc>
        <w:tc>
          <w:tcPr>
            <w:tcW w:w="2257" w:type="dxa"/>
            <w:tcBorders>
              <w:top w:val="single" w:sz="12" w:space="0" w:color="auto"/>
              <w:left w:val="single" w:sz="2" w:space="0" w:color="auto"/>
              <w:bottom w:val="single" w:sz="2" w:space="0" w:color="auto"/>
              <w:right w:val="single" w:sz="2" w:space="0" w:color="auto"/>
            </w:tcBorders>
            <w:vAlign w:val="bottom"/>
          </w:tcPr>
          <w:p w14:paraId="5D965C92" w14:textId="21AC830B" w:rsidR="0048370A" w:rsidRPr="00C80F8E" w:rsidRDefault="008E6382"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37</w:t>
            </w:r>
            <w:r w:rsidR="009D3364" w:rsidRPr="00C80F8E">
              <w:rPr>
                <w:rFonts w:ascii="Abadi" w:hAnsi="Abadi" w:cstheme="minorHAnsi"/>
                <w:b/>
                <w:bCs/>
                <w:sz w:val="20"/>
                <w:szCs w:val="20"/>
                <w:lang w:val="es-ES_tradnl"/>
              </w:rPr>
              <w:t>,</w:t>
            </w:r>
            <w:r w:rsidRPr="00C80F8E">
              <w:rPr>
                <w:rFonts w:ascii="Abadi" w:hAnsi="Abadi" w:cstheme="minorHAnsi"/>
                <w:b/>
                <w:bCs/>
                <w:sz w:val="20"/>
                <w:szCs w:val="20"/>
                <w:lang w:val="es-ES_tradnl"/>
              </w:rPr>
              <w:t>779</w:t>
            </w:r>
            <w:r w:rsidR="009D3364" w:rsidRPr="00C80F8E">
              <w:rPr>
                <w:rFonts w:ascii="Abadi" w:hAnsi="Abadi" w:cstheme="minorHAnsi"/>
                <w:b/>
                <w:bCs/>
                <w:sz w:val="20"/>
                <w:szCs w:val="20"/>
                <w:lang w:val="es-ES_tradnl"/>
              </w:rPr>
              <w:t>,409.77</w:t>
            </w:r>
          </w:p>
        </w:tc>
        <w:tc>
          <w:tcPr>
            <w:tcW w:w="2114" w:type="dxa"/>
            <w:tcBorders>
              <w:top w:val="single" w:sz="12" w:space="0" w:color="auto"/>
              <w:left w:val="single" w:sz="2" w:space="0" w:color="auto"/>
              <w:bottom w:val="single" w:sz="4" w:space="0" w:color="auto"/>
            </w:tcBorders>
            <w:vAlign w:val="bottom"/>
          </w:tcPr>
          <w:p w14:paraId="6C6A4359" w14:textId="2DE364A1" w:rsidR="0048370A" w:rsidRPr="00C80F8E" w:rsidRDefault="00C3459F"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31</w:t>
            </w:r>
            <w:r w:rsidR="003E7B11" w:rsidRPr="00C80F8E">
              <w:rPr>
                <w:rFonts w:ascii="Abadi" w:hAnsi="Abadi" w:cstheme="minorHAnsi"/>
                <w:b/>
                <w:bCs/>
                <w:sz w:val="20"/>
                <w:szCs w:val="20"/>
                <w:lang w:val="es-ES_tradnl"/>
              </w:rPr>
              <w:t>,</w:t>
            </w:r>
            <w:r w:rsidRPr="00C80F8E">
              <w:rPr>
                <w:rFonts w:ascii="Abadi" w:hAnsi="Abadi" w:cstheme="minorHAnsi"/>
                <w:b/>
                <w:bCs/>
                <w:sz w:val="20"/>
                <w:szCs w:val="20"/>
                <w:lang w:val="es-ES_tradnl"/>
              </w:rPr>
              <w:t>781</w:t>
            </w:r>
            <w:r w:rsidR="003E7B11" w:rsidRPr="00C80F8E">
              <w:rPr>
                <w:rFonts w:ascii="Abadi" w:hAnsi="Abadi" w:cstheme="minorHAnsi"/>
                <w:b/>
                <w:bCs/>
                <w:sz w:val="20"/>
                <w:szCs w:val="20"/>
                <w:lang w:val="es-ES_tradnl"/>
              </w:rPr>
              <w:t>,</w:t>
            </w:r>
            <w:r w:rsidRPr="00C80F8E">
              <w:rPr>
                <w:rFonts w:ascii="Abadi" w:hAnsi="Abadi" w:cstheme="minorHAnsi"/>
                <w:b/>
                <w:bCs/>
                <w:sz w:val="20"/>
                <w:szCs w:val="20"/>
                <w:lang w:val="es-ES_tradnl"/>
              </w:rPr>
              <w:t>959.59</w:t>
            </w:r>
          </w:p>
        </w:tc>
      </w:tr>
      <w:tr w:rsidR="0048370A" w:rsidRPr="00C80F8E" w14:paraId="3C86DFE6" w14:textId="77777777" w:rsidTr="00613A3B">
        <w:trPr>
          <w:trHeight w:val="274"/>
        </w:trPr>
        <w:tc>
          <w:tcPr>
            <w:tcW w:w="4867" w:type="dxa"/>
          </w:tcPr>
          <w:p w14:paraId="6B455F22" w14:textId="3DFECD18" w:rsidR="0048370A" w:rsidRPr="00C80F8E" w:rsidRDefault="0048370A" w:rsidP="00DB69D9">
            <w:pPr>
              <w:jc w:val="both"/>
              <w:rPr>
                <w:rFonts w:ascii="Abadi" w:hAnsi="Abadi" w:cstheme="minorHAnsi"/>
                <w:bCs/>
                <w:sz w:val="20"/>
                <w:szCs w:val="20"/>
                <w:lang w:val="es-ES_tradnl"/>
              </w:rPr>
            </w:pPr>
            <w:r w:rsidRPr="00C80F8E">
              <w:rPr>
                <w:rFonts w:ascii="Abadi" w:hAnsi="Abadi" w:cstheme="minorHAnsi"/>
                <w:bCs/>
                <w:sz w:val="20"/>
                <w:szCs w:val="20"/>
                <w:lang w:val="es-ES_tradnl"/>
              </w:rPr>
              <w:t>Depreciación</w:t>
            </w:r>
          </w:p>
        </w:tc>
        <w:tc>
          <w:tcPr>
            <w:tcW w:w="2257" w:type="dxa"/>
            <w:tcBorders>
              <w:top w:val="single" w:sz="2" w:space="0" w:color="auto"/>
              <w:bottom w:val="single" w:sz="12" w:space="0" w:color="auto"/>
            </w:tcBorders>
            <w:vAlign w:val="bottom"/>
          </w:tcPr>
          <w:p w14:paraId="5F5F92C9" w14:textId="640C7697" w:rsidR="0048370A" w:rsidRPr="00C80F8E" w:rsidRDefault="009D3364"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14" w:type="dxa"/>
            <w:tcBorders>
              <w:bottom w:val="single" w:sz="12" w:space="0" w:color="auto"/>
            </w:tcBorders>
            <w:vAlign w:val="bottom"/>
          </w:tcPr>
          <w:p w14:paraId="708F1789" w14:textId="7D7795DC" w:rsidR="0048370A" w:rsidRPr="00C80F8E" w:rsidRDefault="0071252B" w:rsidP="00DB69D9">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48370A" w:rsidRPr="00C80F8E" w14:paraId="7A3BED55" w14:textId="77777777" w:rsidTr="00613A3B">
        <w:trPr>
          <w:trHeight w:val="258"/>
        </w:trPr>
        <w:tc>
          <w:tcPr>
            <w:tcW w:w="4867" w:type="dxa"/>
          </w:tcPr>
          <w:p w14:paraId="1D486195" w14:textId="7AA091AE" w:rsidR="0048370A" w:rsidRPr="00C80F8E" w:rsidRDefault="0048370A" w:rsidP="00DB69D9">
            <w:pPr>
              <w:jc w:val="both"/>
              <w:rPr>
                <w:rFonts w:ascii="Abadi" w:hAnsi="Abadi" w:cstheme="minorHAnsi"/>
                <w:b/>
                <w:bCs/>
                <w:sz w:val="20"/>
                <w:szCs w:val="20"/>
                <w:lang w:val="es-ES_tradnl"/>
              </w:rPr>
            </w:pPr>
            <w:r w:rsidRPr="00C80F8E">
              <w:rPr>
                <w:rFonts w:ascii="Abadi" w:hAnsi="Abadi" w:cstheme="minorHAnsi"/>
                <w:b/>
                <w:bCs/>
                <w:sz w:val="20"/>
                <w:szCs w:val="20"/>
                <w:lang w:val="es-ES_tradnl"/>
              </w:rPr>
              <w:t xml:space="preserve">Total, de </w:t>
            </w:r>
            <w:r w:rsidR="00782091" w:rsidRPr="00C80F8E">
              <w:rPr>
                <w:rFonts w:ascii="Abadi" w:hAnsi="Abadi" w:cstheme="minorHAnsi"/>
                <w:b/>
                <w:bCs/>
                <w:sz w:val="20"/>
                <w:szCs w:val="20"/>
                <w:lang w:val="es-ES_tradnl"/>
              </w:rPr>
              <w:t>Construcción</w:t>
            </w:r>
          </w:p>
        </w:tc>
        <w:tc>
          <w:tcPr>
            <w:tcW w:w="2257" w:type="dxa"/>
            <w:tcBorders>
              <w:top w:val="single" w:sz="12" w:space="0" w:color="auto"/>
              <w:bottom w:val="double" w:sz="4" w:space="0" w:color="auto"/>
            </w:tcBorders>
            <w:vAlign w:val="bottom"/>
          </w:tcPr>
          <w:p w14:paraId="7CD46199" w14:textId="1AA442ED" w:rsidR="0048370A" w:rsidRPr="00C80F8E" w:rsidRDefault="009D3364"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37,779,409.77</w:t>
            </w:r>
          </w:p>
        </w:tc>
        <w:tc>
          <w:tcPr>
            <w:tcW w:w="2114" w:type="dxa"/>
            <w:tcBorders>
              <w:top w:val="single" w:sz="12" w:space="0" w:color="auto"/>
              <w:bottom w:val="double" w:sz="4" w:space="0" w:color="auto"/>
            </w:tcBorders>
            <w:vAlign w:val="bottom"/>
          </w:tcPr>
          <w:p w14:paraId="7AB12DEE" w14:textId="2314951E" w:rsidR="0048370A" w:rsidRPr="00C80F8E" w:rsidRDefault="0071252B" w:rsidP="00217427">
            <w:pPr>
              <w:jc w:val="right"/>
              <w:rPr>
                <w:rFonts w:ascii="Abadi" w:hAnsi="Abadi" w:cstheme="minorHAnsi"/>
                <w:b/>
                <w:bCs/>
                <w:sz w:val="20"/>
                <w:szCs w:val="20"/>
                <w:lang w:val="es-ES_tradnl"/>
              </w:rPr>
            </w:pPr>
            <w:r w:rsidRPr="00C80F8E">
              <w:rPr>
                <w:rFonts w:ascii="Abadi" w:hAnsi="Abadi" w:cstheme="minorHAnsi"/>
                <w:b/>
                <w:bCs/>
                <w:sz w:val="20"/>
                <w:szCs w:val="20"/>
                <w:lang w:val="es-ES_tradnl"/>
              </w:rPr>
              <w:t>31</w:t>
            </w:r>
            <w:r w:rsidR="00F97A70" w:rsidRPr="00C80F8E">
              <w:rPr>
                <w:rFonts w:ascii="Abadi" w:hAnsi="Abadi" w:cstheme="minorHAnsi"/>
                <w:b/>
                <w:bCs/>
                <w:sz w:val="20"/>
                <w:szCs w:val="20"/>
                <w:lang w:val="es-ES_tradnl"/>
              </w:rPr>
              <w:t>,</w:t>
            </w:r>
            <w:r w:rsidRPr="00C80F8E">
              <w:rPr>
                <w:rFonts w:ascii="Abadi" w:hAnsi="Abadi" w:cstheme="minorHAnsi"/>
                <w:b/>
                <w:bCs/>
                <w:sz w:val="20"/>
                <w:szCs w:val="20"/>
                <w:lang w:val="es-ES_tradnl"/>
              </w:rPr>
              <w:t>781</w:t>
            </w:r>
            <w:r w:rsidR="00F97A70" w:rsidRPr="00C80F8E">
              <w:rPr>
                <w:rFonts w:ascii="Abadi" w:hAnsi="Abadi" w:cstheme="minorHAnsi"/>
                <w:b/>
                <w:bCs/>
                <w:sz w:val="20"/>
                <w:szCs w:val="20"/>
                <w:lang w:val="es-ES_tradnl"/>
              </w:rPr>
              <w:t>,</w:t>
            </w:r>
            <w:r w:rsidRPr="00C80F8E">
              <w:rPr>
                <w:rFonts w:ascii="Abadi" w:hAnsi="Abadi" w:cstheme="minorHAnsi"/>
                <w:b/>
                <w:bCs/>
                <w:sz w:val="20"/>
                <w:szCs w:val="20"/>
                <w:lang w:val="es-ES_tradnl"/>
              </w:rPr>
              <w:t>959.59</w:t>
            </w:r>
          </w:p>
        </w:tc>
      </w:tr>
    </w:tbl>
    <w:p w14:paraId="030FCAF7" w14:textId="77777777" w:rsidR="001F28F1" w:rsidRPr="00C80F8E" w:rsidRDefault="001F28F1" w:rsidP="008D4971">
      <w:pPr>
        <w:rPr>
          <w:rFonts w:ascii="Abadi" w:hAnsi="Abadi" w:cstheme="minorHAnsi"/>
          <w:iCs/>
          <w:sz w:val="20"/>
          <w:szCs w:val="20"/>
          <w:lang w:val="es-ES_tradnl"/>
        </w:rPr>
      </w:pPr>
    </w:p>
    <w:p w14:paraId="5FA4348B" w14:textId="08857615" w:rsidR="008D4971" w:rsidRPr="00C80F8E" w:rsidRDefault="008D4971" w:rsidP="008D4971">
      <w:pPr>
        <w:rPr>
          <w:rFonts w:ascii="Abadi" w:hAnsi="Abadi" w:cstheme="minorHAnsi"/>
          <w:b/>
          <w:sz w:val="20"/>
          <w:szCs w:val="20"/>
          <w:lang w:val="es-ES_tradnl"/>
        </w:rPr>
      </w:pPr>
      <w:r w:rsidRPr="00C80F8E">
        <w:rPr>
          <w:rFonts w:ascii="Abadi" w:hAnsi="Abadi" w:cstheme="minorHAnsi"/>
          <w:iCs/>
          <w:sz w:val="20"/>
          <w:szCs w:val="20"/>
          <w:lang w:val="es-ES_tradnl"/>
        </w:rPr>
        <w:t>El Balance de esta Cuenta representa los pagos realizados para la construcción del Edificio de la Escuela Previsional de la SIPEN y su parqueo soterrado, según contrato No. SP-CS-10-21 y la Construcción de un nuevo Comedor para ser utilizado por los colaboradores de la Institución.</w:t>
      </w:r>
    </w:p>
    <w:p w14:paraId="1D135A04" w14:textId="77777777" w:rsidR="00BD09C8" w:rsidRPr="00C80F8E" w:rsidRDefault="00BD09C8" w:rsidP="0048370A">
      <w:pPr>
        <w:pStyle w:val="Prrafodelista"/>
        <w:ind w:left="284"/>
        <w:rPr>
          <w:rFonts w:ascii="Abadi" w:hAnsi="Abadi" w:cstheme="minorHAnsi"/>
          <w:b/>
          <w:sz w:val="20"/>
          <w:szCs w:val="20"/>
          <w:lang w:val="es-ES_tradnl"/>
        </w:rPr>
      </w:pPr>
    </w:p>
    <w:p w14:paraId="37BEFB04" w14:textId="01ADEBA3" w:rsidR="001674A3" w:rsidRPr="00C80F8E" w:rsidRDefault="006B5C00" w:rsidP="00A7606E">
      <w:pPr>
        <w:pStyle w:val="Prrafodelista"/>
        <w:numPr>
          <w:ilvl w:val="0"/>
          <w:numId w:val="1"/>
        </w:numPr>
        <w:spacing w:line="240" w:lineRule="auto"/>
        <w:ind w:left="283" w:hanging="357"/>
        <w:rPr>
          <w:rFonts w:ascii="Abadi" w:hAnsi="Abadi" w:cstheme="minorHAnsi"/>
          <w:b/>
          <w:sz w:val="20"/>
          <w:szCs w:val="20"/>
          <w:lang w:val="es-ES_tradnl"/>
        </w:rPr>
      </w:pPr>
      <w:r w:rsidRPr="00C80F8E">
        <w:rPr>
          <w:rFonts w:ascii="Abadi" w:hAnsi="Abadi" w:cstheme="minorHAnsi"/>
          <w:b/>
          <w:sz w:val="20"/>
          <w:szCs w:val="20"/>
          <w:lang w:val="es-ES_tradnl"/>
        </w:rPr>
        <w:t>Activos Intangibles</w:t>
      </w:r>
    </w:p>
    <w:p w14:paraId="45BDC446" w14:textId="1E2B1F89" w:rsidR="00C8269C" w:rsidRPr="00C80F8E" w:rsidRDefault="00C8269C" w:rsidP="00C8269C">
      <w:pPr>
        <w:spacing w:line="240" w:lineRule="auto"/>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valor neto en libros de los activos intangibles ascendió a RD$2,282,708.74, valor que se mantiene sin variación con respecto al saldo registrado al 30 de junio de 2024. Por tanto, no se registra variación absoluta ni relativa entre ambos ejercicios.</w:t>
      </w:r>
    </w:p>
    <w:p w14:paraId="34B0A0DF" w14:textId="1C1F9B61" w:rsidR="007D06B2" w:rsidRPr="00C80F8E" w:rsidRDefault="00C8269C" w:rsidP="00C8269C">
      <w:pPr>
        <w:spacing w:line="240" w:lineRule="auto"/>
        <w:jc w:val="both"/>
        <w:rPr>
          <w:rFonts w:ascii="Abadi" w:hAnsi="Abadi" w:cstheme="minorHAnsi"/>
          <w:bCs/>
          <w:sz w:val="20"/>
          <w:szCs w:val="20"/>
          <w:lang w:val="es-ES_tradnl"/>
        </w:rPr>
      </w:pPr>
      <w:r w:rsidRPr="00C80F8E">
        <w:rPr>
          <w:rFonts w:ascii="Abadi" w:hAnsi="Abadi" w:cstheme="minorHAnsi"/>
          <w:bCs/>
          <w:sz w:val="20"/>
          <w:szCs w:val="20"/>
          <w:lang w:val="es-ES_tradnl"/>
        </w:rPr>
        <w:t>El saldo está compuesto por licencias de cómputo que no han sido sujetas a amortización adicional en el período, dado que los programas y paquetes de computación ya se encuentran totalmente amortizados, con un saldo de RD$9,741,252.30 de amortización acumulada al cierre de 2025.</w:t>
      </w:r>
      <w:r w:rsidR="004F61B1" w:rsidRPr="00C80F8E">
        <w:rPr>
          <w:rFonts w:ascii="Abadi" w:hAnsi="Abadi" w:cstheme="minorHAnsi"/>
          <w:bCs/>
          <w:sz w:val="20"/>
          <w:szCs w:val="20"/>
          <w:lang w:val="es-ES_tradnl"/>
        </w:rPr>
        <w:t>, es como sigue:</w:t>
      </w:r>
    </w:p>
    <w:tbl>
      <w:tblPr>
        <w:tblStyle w:val="Tablaconcuadrcula"/>
        <w:tblW w:w="0" w:type="auto"/>
        <w:tblInd w:w="66" w:type="dxa"/>
        <w:tblLook w:val="04A0" w:firstRow="1" w:lastRow="0" w:firstColumn="1" w:lastColumn="0" w:noHBand="0" w:noVBand="1"/>
      </w:tblPr>
      <w:tblGrid>
        <w:gridCol w:w="4867"/>
        <w:gridCol w:w="2257"/>
        <w:gridCol w:w="2114"/>
      </w:tblGrid>
      <w:tr w:rsidR="006B5C00" w:rsidRPr="00C80F8E" w14:paraId="2ECABEBC" w14:textId="77777777" w:rsidTr="008D7D54">
        <w:trPr>
          <w:trHeight w:val="258"/>
        </w:trPr>
        <w:tc>
          <w:tcPr>
            <w:tcW w:w="4867" w:type="dxa"/>
            <w:shd w:val="clear" w:color="auto" w:fill="0070C0"/>
            <w:vAlign w:val="bottom"/>
          </w:tcPr>
          <w:p w14:paraId="77184B5F" w14:textId="77777777" w:rsidR="006B5C00" w:rsidRPr="00C80F8E" w:rsidRDefault="006B5C00"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57" w:type="dxa"/>
            <w:tcBorders>
              <w:bottom w:val="single" w:sz="4" w:space="0" w:color="auto"/>
            </w:tcBorders>
            <w:shd w:val="clear" w:color="auto" w:fill="0070C0"/>
            <w:vAlign w:val="bottom"/>
          </w:tcPr>
          <w:p w14:paraId="7A107CD6" w14:textId="06A9E9C2" w:rsidR="006B5C00"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74764" w:rsidRPr="00C80F8E">
              <w:rPr>
                <w:rFonts w:ascii="Abadi" w:hAnsi="Abadi" w:cstheme="minorHAnsi"/>
                <w:b/>
                <w:bCs/>
                <w:color w:val="FFFFFF" w:themeColor="background1"/>
                <w:sz w:val="20"/>
                <w:szCs w:val="20"/>
                <w:lang w:val="es-ES_tradnl"/>
              </w:rPr>
              <w:t>5</w:t>
            </w:r>
          </w:p>
        </w:tc>
        <w:tc>
          <w:tcPr>
            <w:tcW w:w="2114" w:type="dxa"/>
            <w:tcBorders>
              <w:bottom w:val="single" w:sz="4" w:space="0" w:color="auto"/>
            </w:tcBorders>
            <w:shd w:val="clear" w:color="auto" w:fill="0070C0"/>
            <w:vAlign w:val="bottom"/>
          </w:tcPr>
          <w:p w14:paraId="65920B5C" w14:textId="32B50589" w:rsidR="006B5C00"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74764" w:rsidRPr="00C80F8E">
              <w:rPr>
                <w:rFonts w:ascii="Abadi" w:hAnsi="Abadi" w:cstheme="minorHAnsi"/>
                <w:b/>
                <w:bCs/>
                <w:color w:val="FFFFFF" w:themeColor="background1"/>
                <w:sz w:val="20"/>
                <w:szCs w:val="20"/>
                <w:lang w:val="es-ES_tradnl"/>
              </w:rPr>
              <w:t>4</w:t>
            </w:r>
          </w:p>
        </w:tc>
      </w:tr>
      <w:tr w:rsidR="006B5C00" w:rsidRPr="00C80F8E" w14:paraId="63AB6C9D" w14:textId="77777777" w:rsidTr="008D7D54">
        <w:trPr>
          <w:trHeight w:val="274"/>
        </w:trPr>
        <w:tc>
          <w:tcPr>
            <w:tcW w:w="4867" w:type="dxa"/>
            <w:vAlign w:val="bottom"/>
          </w:tcPr>
          <w:p w14:paraId="330404DE" w14:textId="70744A51" w:rsidR="006B5C00" w:rsidRPr="00C80F8E" w:rsidRDefault="00236D4C" w:rsidP="00297694">
            <w:pPr>
              <w:jc w:val="both"/>
              <w:rPr>
                <w:rFonts w:ascii="Abadi" w:hAnsi="Abadi" w:cstheme="minorHAnsi"/>
                <w:sz w:val="20"/>
                <w:szCs w:val="20"/>
                <w:lang w:val="es-ES_tradnl"/>
              </w:rPr>
            </w:pPr>
            <w:bookmarkStart w:id="55" w:name="_Hlk176859065"/>
            <w:r w:rsidRPr="00C80F8E">
              <w:rPr>
                <w:rFonts w:ascii="Abadi" w:hAnsi="Abadi" w:cstheme="minorHAnsi"/>
                <w:bCs/>
                <w:sz w:val="20"/>
                <w:szCs w:val="20"/>
                <w:lang w:val="es-ES_tradnl"/>
              </w:rPr>
              <w:t>Paquetes y Programas de Computación</w:t>
            </w:r>
          </w:p>
        </w:tc>
        <w:tc>
          <w:tcPr>
            <w:tcW w:w="2257" w:type="dxa"/>
            <w:tcBorders>
              <w:bottom w:val="single" w:sz="4" w:space="0" w:color="auto"/>
            </w:tcBorders>
            <w:vAlign w:val="bottom"/>
          </w:tcPr>
          <w:p w14:paraId="3C3B98EF" w14:textId="5E3DC0EA" w:rsidR="006B5C00" w:rsidRPr="00C80F8E" w:rsidRDefault="00EE3465" w:rsidP="005C209D">
            <w:pPr>
              <w:jc w:val="right"/>
              <w:rPr>
                <w:rFonts w:ascii="Abadi" w:hAnsi="Abadi" w:cstheme="minorHAnsi"/>
                <w:sz w:val="20"/>
                <w:szCs w:val="20"/>
                <w:lang w:val="es-ES_tradnl"/>
              </w:rPr>
            </w:pPr>
            <w:r w:rsidRPr="00C80F8E">
              <w:rPr>
                <w:rFonts w:ascii="Abadi" w:hAnsi="Abadi" w:cstheme="minorHAnsi"/>
                <w:sz w:val="20"/>
                <w:szCs w:val="20"/>
                <w:lang w:val="es-ES_tradnl"/>
              </w:rPr>
              <w:t>9</w:t>
            </w:r>
            <w:r w:rsidR="00B61F6E" w:rsidRPr="00C80F8E">
              <w:rPr>
                <w:rFonts w:ascii="Abadi" w:hAnsi="Abadi" w:cstheme="minorHAnsi"/>
                <w:sz w:val="20"/>
                <w:szCs w:val="20"/>
                <w:lang w:val="es-ES_tradnl"/>
              </w:rPr>
              <w:t>,</w:t>
            </w:r>
            <w:r w:rsidRPr="00C80F8E">
              <w:rPr>
                <w:rFonts w:ascii="Abadi" w:hAnsi="Abadi" w:cstheme="minorHAnsi"/>
                <w:sz w:val="20"/>
                <w:szCs w:val="20"/>
                <w:lang w:val="es-ES_tradnl"/>
              </w:rPr>
              <w:t>740</w:t>
            </w:r>
            <w:r w:rsidR="00B61F6E" w:rsidRPr="00C80F8E">
              <w:rPr>
                <w:rFonts w:ascii="Abadi" w:hAnsi="Abadi" w:cstheme="minorHAnsi"/>
                <w:sz w:val="20"/>
                <w:szCs w:val="20"/>
                <w:lang w:val="es-ES_tradnl"/>
              </w:rPr>
              <w:t>,</w:t>
            </w:r>
            <w:r w:rsidRPr="00C80F8E">
              <w:rPr>
                <w:rFonts w:ascii="Abadi" w:hAnsi="Abadi" w:cstheme="minorHAnsi"/>
                <w:sz w:val="20"/>
                <w:szCs w:val="20"/>
                <w:lang w:val="es-ES_tradnl"/>
              </w:rPr>
              <w:t>252.30</w:t>
            </w:r>
          </w:p>
        </w:tc>
        <w:tc>
          <w:tcPr>
            <w:tcW w:w="2114" w:type="dxa"/>
            <w:tcBorders>
              <w:bottom w:val="single" w:sz="4" w:space="0" w:color="auto"/>
            </w:tcBorders>
            <w:vAlign w:val="bottom"/>
          </w:tcPr>
          <w:p w14:paraId="5566CBF6" w14:textId="5508C5D4" w:rsidR="006B5C00" w:rsidRPr="00C80F8E" w:rsidRDefault="00C53735" w:rsidP="00781A82">
            <w:pPr>
              <w:jc w:val="right"/>
              <w:rPr>
                <w:rFonts w:ascii="Abadi" w:hAnsi="Abadi" w:cstheme="minorHAnsi"/>
                <w:sz w:val="20"/>
                <w:szCs w:val="20"/>
                <w:lang w:val="es-ES_tradnl"/>
              </w:rPr>
            </w:pPr>
            <w:r w:rsidRPr="00C80F8E">
              <w:rPr>
                <w:rFonts w:ascii="Abadi" w:hAnsi="Abadi" w:cstheme="minorHAnsi"/>
                <w:sz w:val="20"/>
                <w:szCs w:val="20"/>
                <w:lang w:val="es-ES_tradnl"/>
              </w:rPr>
              <w:t>9,740,252.30</w:t>
            </w:r>
          </w:p>
        </w:tc>
      </w:tr>
      <w:tr w:rsidR="00BA2A75" w:rsidRPr="00C80F8E" w14:paraId="073C8286" w14:textId="77777777" w:rsidTr="008D7D54">
        <w:trPr>
          <w:trHeight w:val="258"/>
        </w:trPr>
        <w:tc>
          <w:tcPr>
            <w:tcW w:w="4867" w:type="dxa"/>
            <w:vAlign w:val="bottom"/>
          </w:tcPr>
          <w:p w14:paraId="39502E10" w14:textId="18C21879" w:rsidR="00BA2A75" w:rsidRPr="00C80F8E" w:rsidRDefault="00C95D4F" w:rsidP="00297694">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Licencias de </w:t>
            </w:r>
            <w:r w:rsidR="00E56556" w:rsidRPr="00C80F8E">
              <w:rPr>
                <w:rFonts w:ascii="Abadi" w:hAnsi="Abadi" w:cstheme="minorHAnsi"/>
                <w:bCs/>
                <w:sz w:val="20"/>
                <w:szCs w:val="20"/>
                <w:lang w:val="es-ES_tradnl"/>
              </w:rPr>
              <w:t>Cómputos</w:t>
            </w:r>
          </w:p>
        </w:tc>
        <w:tc>
          <w:tcPr>
            <w:tcW w:w="2257" w:type="dxa"/>
            <w:tcBorders>
              <w:bottom w:val="single" w:sz="12" w:space="0" w:color="auto"/>
            </w:tcBorders>
            <w:vAlign w:val="bottom"/>
          </w:tcPr>
          <w:p w14:paraId="5403E637" w14:textId="594DC4E6" w:rsidR="00BA2A75" w:rsidRPr="00C80F8E" w:rsidRDefault="00B61F6E" w:rsidP="005C209D">
            <w:pPr>
              <w:jc w:val="right"/>
              <w:rPr>
                <w:rFonts w:ascii="Abadi" w:hAnsi="Abadi" w:cstheme="minorHAnsi"/>
                <w:sz w:val="20"/>
                <w:szCs w:val="20"/>
                <w:lang w:val="es-ES_tradnl"/>
              </w:rPr>
            </w:pPr>
            <w:r w:rsidRPr="00C80F8E">
              <w:rPr>
                <w:rFonts w:ascii="Abadi" w:hAnsi="Abadi" w:cstheme="minorHAnsi"/>
                <w:sz w:val="20"/>
                <w:szCs w:val="20"/>
                <w:lang w:val="es-ES_tradnl"/>
              </w:rPr>
              <w:t>2,282,708.74</w:t>
            </w:r>
          </w:p>
        </w:tc>
        <w:tc>
          <w:tcPr>
            <w:tcW w:w="2114" w:type="dxa"/>
            <w:tcBorders>
              <w:bottom w:val="single" w:sz="12" w:space="0" w:color="auto"/>
            </w:tcBorders>
            <w:vAlign w:val="bottom"/>
          </w:tcPr>
          <w:p w14:paraId="34A3B3FB" w14:textId="72769B1A" w:rsidR="00BA2A75" w:rsidRPr="00C80F8E" w:rsidRDefault="00C53735" w:rsidP="00781A82">
            <w:pPr>
              <w:jc w:val="right"/>
              <w:rPr>
                <w:rFonts w:ascii="Abadi" w:hAnsi="Abadi" w:cstheme="minorHAnsi"/>
                <w:sz w:val="20"/>
                <w:szCs w:val="20"/>
                <w:lang w:val="es-ES_tradnl"/>
              </w:rPr>
            </w:pPr>
            <w:r w:rsidRPr="00C80F8E">
              <w:rPr>
                <w:rFonts w:ascii="Abadi" w:hAnsi="Abadi" w:cstheme="minorHAnsi"/>
                <w:sz w:val="20"/>
                <w:szCs w:val="20"/>
                <w:lang w:val="es-ES_tradnl"/>
              </w:rPr>
              <w:t>2</w:t>
            </w:r>
            <w:r w:rsidR="000B7634" w:rsidRPr="00C80F8E">
              <w:rPr>
                <w:rFonts w:ascii="Abadi" w:hAnsi="Abadi" w:cstheme="minorHAnsi"/>
                <w:sz w:val="20"/>
                <w:szCs w:val="20"/>
                <w:lang w:val="es-ES_tradnl"/>
              </w:rPr>
              <w:t>,</w:t>
            </w:r>
            <w:r w:rsidRPr="00C80F8E">
              <w:rPr>
                <w:rFonts w:ascii="Abadi" w:hAnsi="Abadi" w:cstheme="minorHAnsi"/>
                <w:sz w:val="20"/>
                <w:szCs w:val="20"/>
                <w:lang w:val="es-ES_tradnl"/>
              </w:rPr>
              <w:t>282</w:t>
            </w:r>
            <w:r w:rsidR="000B7634" w:rsidRPr="00C80F8E">
              <w:rPr>
                <w:rFonts w:ascii="Abadi" w:hAnsi="Abadi" w:cstheme="minorHAnsi"/>
                <w:sz w:val="20"/>
                <w:szCs w:val="20"/>
                <w:lang w:val="es-ES_tradnl"/>
              </w:rPr>
              <w:t>,</w:t>
            </w:r>
            <w:r w:rsidRPr="00C80F8E">
              <w:rPr>
                <w:rFonts w:ascii="Abadi" w:hAnsi="Abadi" w:cstheme="minorHAnsi"/>
                <w:sz w:val="20"/>
                <w:szCs w:val="20"/>
                <w:lang w:val="es-ES_tradnl"/>
              </w:rPr>
              <w:t>708.74</w:t>
            </w:r>
          </w:p>
        </w:tc>
      </w:tr>
      <w:tr w:rsidR="008D4971" w:rsidRPr="00C80F8E" w14:paraId="2174C731" w14:textId="77777777" w:rsidTr="008D7D54">
        <w:trPr>
          <w:trHeight w:val="258"/>
        </w:trPr>
        <w:tc>
          <w:tcPr>
            <w:tcW w:w="4867" w:type="dxa"/>
            <w:tcBorders>
              <w:right w:val="single" w:sz="2" w:space="0" w:color="auto"/>
            </w:tcBorders>
            <w:vAlign w:val="bottom"/>
          </w:tcPr>
          <w:p w14:paraId="4B0B0A6F" w14:textId="0F4AECA4" w:rsidR="008D4971" w:rsidRPr="00C80F8E" w:rsidRDefault="008D4971" w:rsidP="00297694">
            <w:pPr>
              <w:jc w:val="both"/>
              <w:rPr>
                <w:rFonts w:ascii="Abadi" w:hAnsi="Abadi" w:cstheme="minorHAnsi"/>
                <w:b/>
                <w:sz w:val="20"/>
                <w:szCs w:val="20"/>
                <w:lang w:val="es-ES_tradnl"/>
              </w:rPr>
            </w:pPr>
            <w:proofErr w:type="gramStart"/>
            <w:r w:rsidRPr="00C80F8E">
              <w:rPr>
                <w:rFonts w:ascii="Abadi" w:hAnsi="Abadi" w:cstheme="minorHAnsi"/>
                <w:b/>
                <w:sz w:val="20"/>
                <w:szCs w:val="20"/>
                <w:lang w:val="es-ES_tradnl"/>
              </w:rPr>
              <w:t>Total</w:t>
            </w:r>
            <w:proofErr w:type="gramEnd"/>
            <w:r w:rsidRPr="00C80F8E">
              <w:rPr>
                <w:rFonts w:ascii="Abadi" w:hAnsi="Abadi" w:cstheme="minorHAnsi"/>
                <w:b/>
                <w:sz w:val="20"/>
                <w:szCs w:val="20"/>
                <w:lang w:val="es-ES_tradnl"/>
              </w:rPr>
              <w:t xml:space="preserve"> Bienes Intangibles</w:t>
            </w:r>
          </w:p>
        </w:tc>
        <w:tc>
          <w:tcPr>
            <w:tcW w:w="2257" w:type="dxa"/>
            <w:tcBorders>
              <w:top w:val="single" w:sz="12" w:space="0" w:color="auto"/>
              <w:left w:val="single" w:sz="2" w:space="0" w:color="auto"/>
              <w:bottom w:val="single" w:sz="2" w:space="0" w:color="auto"/>
              <w:right w:val="single" w:sz="2" w:space="0" w:color="auto"/>
            </w:tcBorders>
            <w:vAlign w:val="bottom"/>
          </w:tcPr>
          <w:p w14:paraId="019C1507" w14:textId="31BE1454" w:rsidR="008D4971" w:rsidRPr="00C80F8E" w:rsidRDefault="00B61F6E" w:rsidP="005C209D">
            <w:pPr>
              <w:jc w:val="right"/>
              <w:rPr>
                <w:rFonts w:ascii="Abadi" w:hAnsi="Abadi" w:cstheme="minorHAnsi"/>
                <w:sz w:val="20"/>
                <w:szCs w:val="20"/>
                <w:lang w:val="es-ES_tradnl"/>
              </w:rPr>
            </w:pPr>
            <w:r w:rsidRPr="00C80F8E">
              <w:rPr>
                <w:rFonts w:ascii="Abadi" w:hAnsi="Abadi" w:cstheme="minorHAnsi"/>
                <w:sz w:val="20"/>
                <w:szCs w:val="20"/>
                <w:lang w:val="es-ES_tradnl"/>
              </w:rPr>
              <w:t>12,022,961.04</w:t>
            </w:r>
          </w:p>
        </w:tc>
        <w:tc>
          <w:tcPr>
            <w:tcW w:w="2114" w:type="dxa"/>
            <w:tcBorders>
              <w:top w:val="single" w:sz="12" w:space="0" w:color="auto"/>
              <w:left w:val="single" w:sz="2" w:space="0" w:color="auto"/>
              <w:bottom w:val="single" w:sz="4" w:space="0" w:color="auto"/>
            </w:tcBorders>
            <w:vAlign w:val="bottom"/>
          </w:tcPr>
          <w:p w14:paraId="5BDF52B5" w14:textId="32FA7E91" w:rsidR="008D4971" w:rsidRPr="00C80F8E" w:rsidRDefault="007C602E" w:rsidP="00781A82">
            <w:pPr>
              <w:jc w:val="right"/>
              <w:rPr>
                <w:rFonts w:ascii="Abadi" w:hAnsi="Abadi" w:cstheme="minorHAnsi"/>
                <w:sz w:val="20"/>
                <w:szCs w:val="20"/>
                <w:lang w:val="es-ES_tradnl"/>
              </w:rPr>
            </w:pPr>
            <w:r w:rsidRPr="00C80F8E">
              <w:rPr>
                <w:rFonts w:ascii="Abadi" w:hAnsi="Abadi" w:cstheme="minorHAnsi"/>
                <w:sz w:val="20"/>
                <w:szCs w:val="20"/>
                <w:lang w:val="es-ES_tradnl"/>
              </w:rPr>
              <w:t>12,022,961.04</w:t>
            </w:r>
          </w:p>
        </w:tc>
      </w:tr>
      <w:tr w:rsidR="00BA2A75" w:rsidRPr="00C80F8E" w14:paraId="5DA7700B" w14:textId="77777777" w:rsidTr="008D7D54">
        <w:trPr>
          <w:trHeight w:val="274"/>
        </w:trPr>
        <w:tc>
          <w:tcPr>
            <w:tcW w:w="4867" w:type="dxa"/>
            <w:vAlign w:val="bottom"/>
          </w:tcPr>
          <w:p w14:paraId="1EBAD182" w14:textId="585F70E3" w:rsidR="00BA2A75" w:rsidRPr="00C80F8E" w:rsidRDefault="00C95D4F" w:rsidP="00297694">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Depreciación Programas de </w:t>
            </w:r>
            <w:r w:rsidR="00E56556" w:rsidRPr="00C80F8E">
              <w:rPr>
                <w:rFonts w:ascii="Abadi" w:hAnsi="Abadi" w:cstheme="minorHAnsi"/>
                <w:bCs/>
                <w:sz w:val="20"/>
                <w:szCs w:val="20"/>
                <w:lang w:val="es-ES_tradnl"/>
              </w:rPr>
              <w:t>Cómputos</w:t>
            </w:r>
          </w:p>
        </w:tc>
        <w:tc>
          <w:tcPr>
            <w:tcW w:w="2257" w:type="dxa"/>
            <w:tcBorders>
              <w:top w:val="single" w:sz="2" w:space="0" w:color="auto"/>
              <w:bottom w:val="single" w:sz="12" w:space="0" w:color="auto"/>
            </w:tcBorders>
            <w:vAlign w:val="bottom"/>
          </w:tcPr>
          <w:p w14:paraId="000419C2" w14:textId="30C17226" w:rsidR="00BA2A75" w:rsidRPr="00C80F8E" w:rsidRDefault="008D7D54" w:rsidP="00FC4DFE">
            <w:pPr>
              <w:jc w:val="right"/>
              <w:rPr>
                <w:rFonts w:ascii="Abadi" w:hAnsi="Abadi" w:cstheme="minorHAnsi"/>
                <w:sz w:val="20"/>
                <w:szCs w:val="20"/>
                <w:lang w:val="es-ES_tradnl"/>
              </w:rPr>
            </w:pPr>
            <w:r w:rsidRPr="00C80F8E">
              <w:rPr>
                <w:rFonts w:ascii="Abadi" w:hAnsi="Abadi" w:cstheme="minorHAnsi"/>
                <w:sz w:val="20"/>
                <w:szCs w:val="20"/>
                <w:lang w:val="es-ES_tradnl"/>
              </w:rPr>
              <w:t>(9,74</w:t>
            </w:r>
            <w:r w:rsidR="00FC4DFE">
              <w:rPr>
                <w:rFonts w:ascii="Abadi" w:hAnsi="Abadi" w:cstheme="minorHAnsi"/>
                <w:sz w:val="20"/>
                <w:szCs w:val="20"/>
                <w:lang w:val="es-ES_tradnl"/>
              </w:rPr>
              <w:t>0</w:t>
            </w:r>
            <w:r w:rsidRPr="00C80F8E">
              <w:rPr>
                <w:rFonts w:ascii="Abadi" w:hAnsi="Abadi" w:cstheme="minorHAnsi"/>
                <w:sz w:val="20"/>
                <w:szCs w:val="20"/>
                <w:lang w:val="es-ES_tradnl"/>
              </w:rPr>
              <w:t>,252.30)</w:t>
            </w:r>
          </w:p>
        </w:tc>
        <w:tc>
          <w:tcPr>
            <w:tcW w:w="2114" w:type="dxa"/>
            <w:tcBorders>
              <w:bottom w:val="single" w:sz="12" w:space="0" w:color="auto"/>
            </w:tcBorders>
            <w:vAlign w:val="bottom"/>
          </w:tcPr>
          <w:p w14:paraId="385CDD6D" w14:textId="54FC539B" w:rsidR="00BA2A75" w:rsidRPr="00C80F8E" w:rsidRDefault="007C602E" w:rsidP="00781A82">
            <w:pPr>
              <w:jc w:val="right"/>
              <w:rPr>
                <w:rFonts w:ascii="Abadi" w:hAnsi="Abadi" w:cstheme="minorHAnsi"/>
                <w:sz w:val="20"/>
                <w:szCs w:val="20"/>
                <w:lang w:val="es-ES_tradnl"/>
              </w:rPr>
            </w:pPr>
            <w:r w:rsidRPr="00C80F8E">
              <w:rPr>
                <w:rFonts w:ascii="Abadi" w:hAnsi="Abadi" w:cstheme="minorHAnsi"/>
                <w:sz w:val="20"/>
                <w:szCs w:val="20"/>
                <w:lang w:val="es-ES_tradnl"/>
              </w:rPr>
              <w:t>(9</w:t>
            </w:r>
            <w:r w:rsidR="005E7140" w:rsidRPr="00C80F8E">
              <w:rPr>
                <w:rFonts w:ascii="Abadi" w:hAnsi="Abadi" w:cstheme="minorHAnsi"/>
                <w:sz w:val="20"/>
                <w:szCs w:val="20"/>
                <w:lang w:val="es-ES_tradnl"/>
              </w:rPr>
              <w:t>,740,252.30)</w:t>
            </w:r>
          </w:p>
        </w:tc>
      </w:tr>
      <w:tr w:rsidR="006B5C00" w:rsidRPr="00C80F8E" w14:paraId="049373BD" w14:textId="77777777" w:rsidTr="008D7D54">
        <w:trPr>
          <w:trHeight w:val="258"/>
        </w:trPr>
        <w:tc>
          <w:tcPr>
            <w:tcW w:w="4867" w:type="dxa"/>
            <w:vAlign w:val="bottom"/>
          </w:tcPr>
          <w:p w14:paraId="4272B17B" w14:textId="77777777" w:rsidR="006B5C00" w:rsidRPr="00C80F8E" w:rsidRDefault="006B5C00" w:rsidP="00297694">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de activos intangibles</w:t>
            </w:r>
          </w:p>
        </w:tc>
        <w:tc>
          <w:tcPr>
            <w:tcW w:w="2257" w:type="dxa"/>
            <w:tcBorders>
              <w:top w:val="single" w:sz="12" w:space="0" w:color="auto"/>
              <w:bottom w:val="double" w:sz="4" w:space="0" w:color="auto"/>
            </w:tcBorders>
            <w:vAlign w:val="bottom"/>
          </w:tcPr>
          <w:p w14:paraId="450F8B7B" w14:textId="2C064B62" w:rsidR="006B5C00" w:rsidRPr="00C80F8E" w:rsidRDefault="008D7D54" w:rsidP="005C209D">
            <w:pPr>
              <w:jc w:val="right"/>
              <w:rPr>
                <w:rFonts w:ascii="Abadi" w:hAnsi="Abadi" w:cstheme="minorHAnsi"/>
                <w:b/>
                <w:bCs/>
                <w:sz w:val="20"/>
                <w:szCs w:val="20"/>
                <w:lang w:val="es-ES_tradnl"/>
              </w:rPr>
            </w:pPr>
            <w:r w:rsidRPr="00C80F8E">
              <w:rPr>
                <w:rFonts w:ascii="Abadi" w:hAnsi="Abadi" w:cstheme="minorHAnsi"/>
                <w:b/>
                <w:bCs/>
                <w:sz w:val="20"/>
                <w:szCs w:val="20"/>
                <w:lang w:val="es-ES_tradnl"/>
              </w:rPr>
              <w:t>2</w:t>
            </w:r>
            <w:r w:rsidR="002203E4" w:rsidRPr="00C80F8E">
              <w:rPr>
                <w:rFonts w:ascii="Abadi" w:hAnsi="Abadi" w:cstheme="minorHAnsi"/>
                <w:b/>
                <w:bCs/>
                <w:sz w:val="20"/>
                <w:szCs w:val="20"/>
                <w:lang w:val="es-ES_tradnl"/>
              </w:rPr>
              <w:t>,282,708.74</w:t>
            </w:r>
          </w:p>
        </w:tc>
        <w:tc>
          <w:tcPr>
            <w:tcW w:w="2114" w:type="dxa"/>
            <w:tcBorders>
              <w:top w:val="single" w:sz="12" w:space="0" w:color="auto"/>
              <w:bottom w:val="double" w:sz="4" w:space="0" w:color="auto"/>
            </w:tcBorders>
            <w:vAlign w:val="bottom"/>
          </w:tcPr>
          <w:p w14:paraId="0066D8AF" w14:textId="6B9AA432" w:rsidR="006B5C00" w:rsidRPr="00C80F8E" w:rsidRDefault="005E7140" w:rsidP="00781A82">
            <w:pPr>
              <w:jc w:val="right"/>
              <w:rPr>
                <w:rFonts w:ascii="Abadi" w:hAnsi="Abadi" w:cstheme="minorHAnsi"/>
                <w:b/>
                <w:bCs/>
                <w:sz w:val="20"/>
                <w:szCs w:val="20"/>
                <w:lang w:val="es-ES_tradnl"/>
              </w:rPr>
            </w:pPr>
            <w:r w:rsidRPr="00C80F8E">
              <w:rPr>
                <w:rFonts w:ascii="Abadi" w:hAnsi="Abadi" w:cstheme="minorHAnsi"/>
                <w:b/>
                <w:bCs/>
                <w:sz w:val="20"/>
                <w:szCs w:val="20"/>
                <w:lang w:val="es-ES_tradnl"/>
              </w:rPr>
              <w:t>2,282,708.74</w:t>
            </w:r>
          </w:p>
        </w:tc>
      </w:tr>
      <w:bookmarkEnd w:id="55"/>
    </w:tbl>
    <w:p w14:paraId="528C8ABF" w14:textId="77777777" w:rsidR="002501DF" w:rsidRPr="00C80F8E" w:rsidRDefault="002501DF" w:rsidP="00206674">
      <w:pPr>
        <w:spacing w:line="240" w:lineRule="auto"/>
        <w:contextualSpacing/>
        <w:rPr>
          <w:rFonts w:ascii="Abadi" w:hAnsi="Abadi" w:cstheme="minorHAnsi"/>
          <w:bCs/>
          <w:sz w:val="20"/>
          <w:szCs w:val="20"/>
          <w:lang w:val="es-ES_tradnl"/>
        </w:rPr>
      </w:pPr>
    </w:p>
    <w:p w14:paraId="167BBA3D" w14:textId="77777777" w:rsidR="00683690" w:rsidRPr="00C80F8E" w:rsidRDefault="00FF74D2" w:rsidP="00A7606E">
      <w:pPr>
        <w:pStyle w:val="Prrafodelista"/>
        <w:numPr>
          <w:ilvl w:val="0"/>
          <w:numId w:val="1"/>
        </w:numPr>
        <w:spacing w:line="240" w:lineRule="auto"/>
        <w:ind w:left="283" w:hanging="357"/>
        <w:rPr>
          <w:rFonts w:ascii="Abadi" w:hAnsi="Abadi" w:cstheme="minorHAnsi"/>
          <w:b/>
          <w:sz w:val="20"/>
          <w:szCs w:val="20"/>
          <w:lang w:val="es-ES_tradnl"/>
        </w:rPr>
      </w:pPr>
      <w:r w:rsidRPr="00C80F8E">
        <w:rPr>
          <w:rFonts w:ascii="Abadi" w:hAnsi="Abadi" w:cstheme="minorHAnsi"/>
          <w:b/>
          <w:sz w:val="20"/>
          <w:szCs w:val="20"/>
          <w:lang w:val="es-ES_tradnl"/>
        </w:rPr>
        <w:t xml:space="preserve">Cuentas por pagar </w:t>
      </w:r>
      <w:r w:rsidR="00357A4A" w:rsidRPr="00C80F8E">
        <w:rPr>
          <w:rFonts w:ascii="Abadi" w:hAnsi="Abadi" w:cstheme="minorHAnsi"/>
          <w:b/>
          <w:sz w:val="20"/>
          <w:szCs w:val="20"/>
          <w:lang w:val="es-ES_tradnl"/>
        </w:rPr>
        <w:t>a corto plazo</w:t>
      </w:r>
    </w:p>
    <w:p w14:paraId="23A46897" w14:textId="02C6594B" w:rsidR="00683690" w:rsidRDefault="00FB7053" w:rsidP="00FB7053">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Al 30 de junio de 2025, el total de cuentas por pagar a proveedores a corto plazo ascendió a RD$5,752,409.19, en comparación con RD$6,378,566.37 registrados al 30 de junio de 2024. Esta diferencia representa una disminución absoluta de RD$626,157.18 y una variación relativa negativa de 9.82%, </w:t>
      </w:r>
      <w:r w:rsidRPr="00C80F8E">
        <w:rPr>
          <w:rFonts w:ascii="Abadi" w:hAnsi="Abadi" w:cstheme="minorHAnsi"/>
          <w:bCs/>
          <w:sz w:val="20"/>
          <w:szCs w:val="20"/>
          <w:lang w:val="es-ES_tradnl"/>
        </w:rPr>
        <w:lastRenderedPageBreak/>
        <w:t>reflejando una reducción en las obligaciones pendientes de pago con suplidores locales y de servicios al cierre del primer semestre de 2025.</w:t>
      </w:r>
      <w:r w:rsidR="00683690" w:rsidRPr="00C80F8E">
        <w:rPr>
          <w:rFonts w:ascii="Abadi" w:hAnsi="Abadi" w:cstheme="minorHAnsi"/>
          <w:bCs/>
          <w:sz w:val="20"/>
          <w:szCs w:val="20"/>
          <w:lang w:val="es-ES_tradnl"/>
        </w:rPr>
        <w:t>, es como sigue:</w:t>
      </w:r>
    </w:p>
    <w:p w14:paraId="6CA9D99B" w14:textId="77777777" w:rsidR="00261262" w:rsidRPr="00C80F8E" w:rsidRDefault="00261262" w:rsidP="00FB7053">
      <w:pPr>
        <w:jc w:val="both"/>
        <w:rPr>
          <w:rFonts w:ascii="Abadi" w:hAnsi="Abadi" w:cstheme="minorHAnsi"/>
          <w:bCs/>
          <w:sz w:val="20"/>
          <w:szCs w:val="20"/>
          <w:lang w:val="es-ES_tradnl"/>
        </w:rPr>
      </w:pPr>
    </w:p>
    <w:tbl>
      <w:tblPr>
        <w:tblStyle w:val="Tablaconcuadrcula"/>
        <w:tblW w:w="0" w:type="auto"/>
        <w:tblInd w:w="66" w:type="dxa"/>
        <w:tblLook w:val="04A0" w:firstRow="1" w:lastRow="0" w:firstColumn="1" w:lastColumn="0" w:noHBand="0" w:noVBand="1"/>
      </w:tblPr>
      <w:tblGrid>
        <w:gridCol w:w="4891"/>
        <w:gridCol w:w="2268"/>
        <w:gridCol w:w="2125"/>
      </w:tblGrid>
      <w:tr w:rsidR="00683690" w:rsidRPr="00C80F8E" w14:paraId="51263A7A" w14:textId="77777777" w:rsidTr="00992FCF">
        <w:tc>
          <w:tcPr>
            <w:tcW w:w="4891" w:type="dxa"/>
            <w:shd w:val="clear" w:color="auto" w:fill="0070C0"/>
            <w:vAlign w:val="bottom"/>
          </w:tcPr>
          <w:p w14:paraId="754D25B2" w14:textId="77777777" w:rsidR="00683690" w:rsidRPr="00C80F8E" w:rsidRDefault="00683690"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tcBorders>
              <w:bottom w:val="single" w:sz="4" w:space="0" w:color="auto"/>
            </w:tcBorders>
            <w:shd w:val="clear" w:color="auto" w:fill="0070C0"/>
            <w:vAlign w:val="bottom"/>
          </w:tcPr>
          <w:p w14:paraId="2BAC0A63" w14:textId="40395CA1" w:rsidR="00683690"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74764" w:rsidRPr="00C80F8E">
              <w:rPr>
                <w:rFonts w:ascii="Abadi" w:hAnsi="Abadi" w:cstheme="minorHAnsi"/>
                <w:b/>
                <w:bCs/>
                <w:color w:val="FFFFFF" w:themeColor="background1"/>
                <w:sz w:val="20"/>
                <w:szCs w:val="20"/>
                <w:lang w:val="es-ES_tradnl"/>
              </w:rPr>
              <w:t>5</w:t>
            </w:r>
          </w:p>
        </w:tc>
        <w:tc>
          <w:tcPr>
            <w:tcW w:w="2125" w:type="dxa"/>
            <w:tcBorders>
              <w:bottom w:val="single" w:sz="4" w:space="0" w:color="auto"/>
            </w:tcBorders>
            <w:shd w:val="clear" w:color="auto" w:fill="0070C0"/>
            <w:vAlign w:val="bottom"/>
          </w:tcPr>
          <w:p w14:paraId="02174106" w14:textId="5D7A031E" w:rsidR="00683690"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74764" w:rsidRPr="00C80F8E">
              <w:rPr>
                <w:rFonts w:ascii="Abadi" w:hAnsi="Abadi" w:cstheme="minorHAnsi"/>
                <w:b/>
                <w:bCs/>
                <w:color w:val="FFFFFF" w:themeColor="background1"/>
                <w:sz w:val="20"/>
                <w:szCs w:val="20"/>
                <w:lang w:val="es-ES_tradnl"/>
              </w:rPr>
              <w:t>4</w:t>
            </w:r>
          </w:p>
        </w:tc>
      </w:tr>
      <w:tr w:rsidR="00683690" w:rsidRPr="00C80F8E" w14:paraId="3A006A1B" w14:textId="77777777" w:rsidTr="00992FCF">
        <w:tc>
          <w:tcPr>
            <w:tcW w:w="4891" w:type="dxa"/>
            <w:vAlign w:val="bottom"/>
          </w:tcPr>
          <w:p w14:paraId="429E361C" w14:textId="5B28AE09" w:rsidR="00683690" w:rsidRPr="00C80F8E" w:rsidRDefault="003E6E92" w:rsidP="00297694">
            <w:pPr>
              <w:jc w:val="both"/>
              <w:rPr>
                <w:rFonts w:ascii="Abadi" w:hAnsi="Abadi" w:cstheme="minorHAnsi"/>
                <w:sz w:val="20"/>
                <w:szCs w:val="20"/>
                <w:lang w:val="es-ES_tradnl"/>
              </w:rPr>
            </w:pPr>
            <w:r w:rsidRPr="00C80F8E">
              <w:rPr>
                <w:rFonts w:ascii="Abadi" w:hAnsi="Abadi" w:cstheme="minorHAnsi"/>
                <w:sz w:val="20"/>
                <w:szCs w:val="20"/>
                <w:lang w:val="es-ES_tradnl"/>
              </w:rPr>
              <w:t>Proveedores Locales por Pagar a Corto Plazo</w:t>
            </w:r>
          </w:p>
        </w:tc>
        <w:tc>
          <w:tcPr>
            <w:tcW w:w="2268" w:type="dxa"/>
            <w:tcBorders>
              <w:bottom w:val="single" w:sz="4" w:space="0" w:color="auto"/>
            </w:tcBorders>
            <w:vAlign w:val="bottom"/>
          </w:tcPr>
          <w:p w14:paraId="4A8EAE35" w14:textId="49E6BF6E" w:rsidR="00683690" w:rsidRPr="00C80F8E" w:rsidRDefault="002D21A7" w:rsidP="00911A8A">
            <w:pPr>
              <w:jc w:val="right"/>
              <w:rPr>
                <w:rFonts w:ascii="Abadi" w:hAnsi="Abadi" w:cstheme="minorHAnsi"/>
                <w:sz w:val="20"/>
                <w:szCs w:val="20"/>
                <w:lang w:val="es-ES_tradnl"/>
              </w:rPr>
            </w:pPr>
            <w:r w:rsidRPr="00C80F8E">
              <w:rPr>
                <w:rFonts w:ascii="Abadi" w:hAnsi="Abadi" w:cstheme="minorHAnsi"/>
                <w:sz w:val="20"/>
                <w:szCs w:val="20"/>
                <w:lang w:val="es-ES_tradnl"/>
              </w:rPr>
              <w:t>56,468.78</w:t>
            </w:r>
          </w:p>
        </w:tc>
        <w:tc>
          <w:tcPr>
            <w:tcW w:w="2125" w:type="dxa"/>
            <w:tcBorders>
              <w:bottom w:val="single" w:sz="4" w:space="0" w:color="auto"/>
            </w:tcBorders>
            <w:vAlign w:val="bottom"/>
          </w:tcPr>
          <w:p w14:paraId="5EBDFF85" w14:textId="46A5D82D" w:rsidR="00683690" w:rsidRPr="00C80F8E" w:rsidRDefault="00946D0D" w:rsidP="00911A8A">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7F377D" w:rsidRPr="00C80F8E" w14:paraId="20C468E3" w14:textId="77777777" w:rsidTr="00992FCF">
        <w:tc>
          <w:tcPr>
            <w:tcW w:w="4891" w:type="dxa"/>
            <w:vAlign w:val="bottom"/>
          </w:tcPr>
          <w:p w14:paraId="67451B66" w14:textId="6613275A" w:rsidR="007F377D" w:rsidRPr="00C80F8E" w:rsidRDefault="003E6E92" w:rsidP="00297694">
            <w:pPr>
              <w:jc w:val="both"/>
              <w:rPr>
                <w:rFonts w:ascii="Abadi" w:hAnsi="Abadi" w:cstheme="minorHAnsi"/>
                <w:sz w:val="20"/>
                <w:szCs w:val="20"/>
                <w:lang w:val="es-ES_tradnl"/>
              </w:rPr>
            </w:pPr>
            <w:r w:rsidRPr="00C80F8E">
              <w:rPr>
                <w:rFonts w:ascii="Abadi" w:hAnsi="Abadi" w:cstheme="minorHAnsi"/>
                <w:sz w:val="20"/>
                <w:szCs w:val="20"/>
                <w:lang w:val="es-ES_tradnl"/>
              </w:rPr>
              <w:t>Proveedores de Servicios por Pagar a Corto Plazo</w:t>
            </w:r>
          </w:p>
        </w:tc>
        <w:tc>
          <w:tcPr>
            <w:tcW w:w="2268" w:type="dxa"/>
            <w:tcBorders>
              <w:bottom w:val="single" w:sz="4" w:space="0" w:color="auto"/>
            </w:tcBorders>
            <w:vAlign w:val="bottom"/>
          </w:tcPr>
          <w:p w14:paraId="6138FF74" w14:textId="322EFE57" w:rsidR="007F377D" w:rsidRPr="00C80F8E" w:rsidRDefault="007277CB" w:rsidP="00911A8A">
            <w:pPr>
              <w:jc w:val="right"/>
              <w:rPr>
                <w:rFonts w:ascii="Abadi" w:hAnsi="Abadi" w:cstheme="minorHAnsi"/>
                <w:sz w:val="20"/>
                <w:szCs w:val="20"/>
                <w:lang w:val="es-ES_tradnl"/>
              </w:rPr>
            </w:pPr>
            <w:r w:rsidRPr="00C80F8E">
              <w:rPr>
                <w:rFonts w:ascii="Abadi" w:hAnsi="Abadi" w:cstheme="minorHAnsi"/>
                <w:sz w:val="20"/>
                <w:szCs w:val="20"/>
                <w:lang w:val="es-ES_tradnl"/>
              </w:rPr>
              <w:t>2,235,707.13</w:t>
            </w:r>
          </w:p>
        </w:tc>
        <w:tc>
          <w:tcPr>
            <w:tcW w:w="2125" w:type="dxa"/>
            <w:tcBorders>
              <w:bottom w:val="single" w:sz="4" w:space="0" w:color="auto"/>
            </w:tcBorders>
            <w:vAlign w:val="bottom"/>
          </w:tcPr>
          <w:p w14:paraId="62ACF874" w14:textId="62F25C39" w:rsidR="007F377D" w:rsidRPr="00C80F8E" w:rsidRDefault="00946D0D" w:rsidP="00217427">
            <w:pPr>
              <w:jc w:val="right"/>
              <w:rPr>
                <w:rFonts w:ascii="Abadi" w:hAnsi="Abadi" w:cstheme="minorHAnsi"/>
                <w:sz w:val="20"/>
                <w:szCs w:val="20"/>
                <w:lang w:val="es-ES_tradnl"/>
              </w:rPr>
            </w:pPr>
            <w:r w:rsidRPr="00C80F8E">
              <w:rPr>
                <w:rFonts w:ascii="Abadi" w:hAnsi="Abadi" w:cstheme="minorHAnsi"/>
                <w:sz w:val="20"/>
                <w:szCs w:val="20"/>
                <w:lang w:val="es-ES_tradnl"/>
              </w:rPr>
              <w:t>4,970,687.05</w:t>
            </w:r>
          </w:p>
        </w:tc>
      </w:tr>
      <w:tr w:rsidR="007F377D" w:rsidRPr="00C80F8E" w14:paraId="7DAE304C" w14:textId="77777777" w:rsidTr="00992FCF">
        <w:tc>
          <w:tcPr>
            <w:tcW w:w="4891" w:type="dxa"/>
            <w:vAlign w:val="bottom"/>
          </w:tcPr>
          <w:p w14:paraId="1291F197" w14:textId="3C8F770A" w:rsidR="007F377D" w:rsidRPr="00C80F8E" w:rsidRDefault="006C2D82" w:rsidP="00297694">
            <w:pPr>
              <w:jc w:val="both"/>
              <w:rPr>
                <w:rFonts w:ascii="Abadi" w:hAnsi="Abadi" w:cstheme="minorHAnsi"/>
                <w:sz w:val="19"/>
                <w:szCs w:val="19"/>
                <w:lang w:val="es-ES_tradnl"/>
              </w:rPr>
            </w:pPr>
            <w:r w:rsidRPr="00C80F8E">
              <w:rPr>
                <w:rFonts w:ascii="Abadi" w:hAnsi="Abadi" w:cstheme="minorHAnsi"/>
                <w:sz w:val="19"/>
                <w:szCs w:val="19"/>
                <w:lang w:val="es-ES_tradnl"/>
              </w:rPr>
              <w:t xml:space="preserve">Otros Proveedores </w:t>
            </w:r>
            <w:r w:rsidR="00992FCF" w:rsidRPr="00C80F8E">
              <w:rPr>
                <w:rFonts w:ascii="Abadi" w:hAnsi="Abadi" w:cstheme="minorHAnsi"/>
                <w:sz w:val="19"/>
                <w:szCs w:val="19"/>
                <w:lang w:val="es-ES_tradnl"/>
              </w:rPr>
              <w:t>Directos Pagar</w:t>
            </w:r>
            <w:r w:rsidR="004B3043" w:rsidRPr="00C80F8E">
              <w:rPr>
                <w:rFonts w:ascii="Abadi" w:hAnsi="Abadi" w:cstheme="minorHAnsi"/>
                <w:sz w:val="19"/>
                <w:szCs w:val="19"/>
                <w:lang w:val="es-ES_tradnl"/>
              </w:rPr>
              <w:t xml:space="preserve"> Corto Plazo </w:t>
            </w:r>
          </w:p>
        </w:tc>
        <w:tc>
          <w:tcPr>
            <w:tcW w:w="2268" w:type="dxa"/>
            <w:tcBorders>
              <w:bottom w:val="single" w:sz="12" w:space="0" w:color="auto"/>
            </w:tcBorders>
            <w:vAlign w:val="bottom"/>
          </w:tcPr>
          <w:p w14:paraId="03EDE23C" w14:textId="6BC4B123" w:rsidR="007F377D" w:rsidRPr="00C80F8E" w:rsidRDefault="00152F8B" w:rsidP="00911A8A">
            <w:pPr>
              <w:jc w:val="right"/>
              <w:rPr>
                <w:rFonts w:ascii="Abadi" w:hAnsi="Abadi" w:cstheme="minorHAnsi"/>
                <w:sz w:val="20"/>
                <w:szCs w:val="20"/>
                <w:lang w:val="es-ES_tradnl"/>
              </w:rPr>
            </w:pPr>
            <w:r w:rsidRPr="00C80F8E">
              <w:rPr>
                <w:rFonts w:ascii="Abadi" w:hAnsi="Abadi" w:cstheme="minorHAnsi"/>
                <w:sz w:val="20"/>
                <w:szCs w:val="20"/>
                <w:lang w:val="es-ES_tradnl"/>
              </w:rPr>
              <w:t>3,460,233.28</w:t>
            </w:r>
          </w:p>
        </w:tc>
        <w:tc>
          <w:tcPr>
            <w:tcW w:w="2125" w:type="dxa"/>
            <w:tcBorders>
              <w:bottom w:val="single" w:sz="12" w:space="0" w:color="auto"/>
            </w:tcBorders>
            <w:vAlign w:val="bottom"/>
          </w:tcPr>
          <w:p w14:paraId="5D360755" w14:textId="77777777" w:rsidR="00582749" w:rsidRPr="00C80F8E" w:rsidRDefault="00582749" w:rsidP="00217427">
            <w:pPr>
              <w:jc w:val="right"/>
              <w:rPr>
                <w:rFonts w:ascii="Abadi" w:hAnsi="Abadi" w:cstheme="minorHAnsi"/>
                <w:sz w:val="20"/>
                <w:szCs w:val="20"/>
                <w:lang w:val="es-ES_tradnl"/>
              </w:rPr>
            </w:pPr>
          </w:p>
          <w:p w14:paraId="580CC9FF" w14:textId="77852C16" w:rsidR="007F377D" w:rsidRPr="00C80F8E" w:rsidRDefault="00923F3A" w:rsidP="00217427">
            <w:pPr>
              <w:jc w:val="right"/>
              <w:rPr>
                <w:rFonts w:ascii="Abadi" w:hAnsi="Abadi" w:cstheme="minorHAnsi"/>
                <w:sz w:val="20"/>
                <w:szCs w:val="20"/>
                <w:lang w:val="es-ES_tradnl"/>
              </w:rPr>
            </w:pPr>
            <w:r w:rsidRPr="00C80F8E">
              <w:rPr>
                <w:rFonts w:ascii="Abadi" w:hAnsi="Abadi" w:cstheme="minorHAnsi"/>
                <w:sz w:val="20"/>
                <w:szCs w:val="20"/>
                <w:lang w:val="es-ES_tradnl"/>
              </w:rPr>
              <w:t>1,407,879.32</w:t>
            </w:r>
          </w:p>
        </w:tc>
      </w:tr>
      <w:tr w:rsidR="00683690" w:rsidRPr="00C80F8E" w14:paraId="01FD1B31" w14:textId="77777777" w:rsidTr="00992FCF">
        <w:tc>
          <w:tcPr>
            <w:tcW w:w="4891" w:type="dxa"/>
            <w:vAlign w:val="bottom"/>
          </w:tcPr>
          <w:p w14:paraId="3CF37104" w14:textId="77777777" w:rsidR="00683690" w:rsidRPr="00C80F8E" w:rsidRDefault="00683690" w:rsidP="00297694">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de </w:t>
            </w:r>
            <w:r w:rsidR="00675CFD" w:rsidRPr="00C80F8E">
              <w:rPr>
                <w:rFonts w:ascii="Abadi" w:hAnsi="Abadi" w:cstheme="minorHAnsi"/>
                <w:b/>
                <w:bCs/>
                <w:sz w:val="20"/>
                <w:szCs w:val="20"/>
                <w:lang w:val="es-ES_tradnl"/>
              </w:rPr>
              <w:t>préstamos</w:t>
            </w:r>
            <w:r w:rsidR="00127F14" w:rsidRPr="00C80F8E">
              <w:rPr>
                <w:rFonts w:ascii="Abadi" w:hAnsi="Abadi" w:cstheme="minorHAnsi"/>
                <w:b/>
                <w:bCs/>
                <w:sz w:val="20"/>
                <w:szCs w:val="20"/>
                <w:lang w:val="es-ES_tradnl"/>
              </w:rPr>
              <w:t xml:space="preserve"> a corto plazo</w:t>
            </w:r>
          </w:p>
        </w:tc>
        <w:tc>
          <w:tcPr>
            <w:tcW w:w="2268" w:type="dxa"/>
            <w:tcBorders>
              <w:top w:val="single" w:sz="12" w:space="0" w:color="auto"/>
              <w:bottom w:val="double" w:sz="4" w:space="0" w:color="auto"/>
            </w:tcBorders>
            <w:vAlign w:val="bottom"/>
          </w:tcPr>
          <w:p w14:paraId="62436CCF" w14:textId="499605EC" w:rsidR="00683690" w:rsidRPr="00C80F8E" w:rsidRDefault="00152F8B" w:rsidP="00BE4D0E">
            <w:pPr>
              <w:jc w:val="right"/>
              <w:rPr>
                <w:rFonts w:ascii="Abadi" w:hAnsi="Abadi" w:cstheme="minorHAnsi"/>
                <w:b/>
                <w:bCs/>
                <w:sz w:val="20"/>
                <w:szCs w:val="20"/>
                <w:lang w:val="es-ES_tradnl"/>
              </w:rPr>
            </w:pPr>
            <w:r w:rsidRPr="00C80F8E">
              <w:rPr>
                <w:rFonts w:ascii="Abadi" w:hAnsi="Abadi" w:cstheme="minorHAnsi"/>
                <w:b/>
                <w:bCs/>
                <w:sz w:val="20"/>
                <w:szCs w:val="20"/>
                <w:lang w:val="es-ES_tradnl"/>
              </w:rPr>
              <w:t>5,752,409.19</w:t>
            </w:r>
          </w:p>
        </w:tc>
        <w:tc>
          <w:tcPr>
            <w:tcW w:w="2125" w:type="dxa"/>
            <w:tcBorders>
              <w:top w:val="single" w:sz="12" w:space="0" w:color="auto"/>
              <w:bottom w:val="double" w:sz="4" w:space="0" w:color="auto"/>
            </w:tcBorders>
            <w:vAlign w:val="bottom"/>
          </w:tcPr>
          <w:p w14:paraId="4FB2308B" w14:textId="1CBF1161" w:rsidR="00683690" w:rsidRPr="00C80F8E" w:rsidRDefault="00923F3A" w:rsidP="00217427">
            <w:pPr>
              <w:jc w:val="right"/>
              <w:rPr>
                <w:rFonts w:ascii="Abadi" w:hAnsi="Abadi" w:cstheme="minorHAnsi"/>
                <w:b/>
                <w:bCs/>
                <w:sz w:val="20"/>
                <w:szCs w:val="20"/>
                <w:lang w:val="es-ES_tradnl"/>
              </w:rPr>
            </w:pPr>
            <w:r w:rsidRPr="00C80F8E">
              <w:rPr>
                <w:rFonts w:ascii="Abadi" w:hAnsi="Abadi" w:cstheme="minorHAnsi"/>
                <w:b/>
                <w:bCs/>
                <w:sz w:val="20"/>
                <w:szCs w:val="20"/>
                <w:lang w:val="es-ES_tradnl"/>
              </w:rPr>
              <w:t>6</w:t>
            </w:r>
            <w:r w:rsidR="006014B8" w:rsidRPr="00C80F8E">
              <w:rPr>
                <w:rFonts w:ascii="Abadi" w:hAnsi="Abadi" w:cstheme="minorHAnsi"/>
                <w:b/>
                <w:bCs/>
                <w:sz w:val="20"/>
                <w:szCs w:val="20"/>
                <w:lang w:val="es-ES_tradnl"/>
              </w:rPr>
              <w:t>,</w:t>
            </w:r>
            <w:r w:rsidRPr="00C80F8E">
              <w:rPr>
                <w:rFonts w:ascii="Abadi" w:hAnsi="Abadi" w:cstheme="minorHAnsi"/>
                <w:b/>
                <w:bCs/>
                <w:sz w:val="20"/>
                <w:szCs w:val="20"/>
                <w:lang w:val="es-ES_tradnl"/>
              </w:rPr>
              <w:t>378,566.37</w:t>
            </w:r>
          </w:p>
        </w:tc>
      </w:tr>
    </w:tbl>
    <w:p w14:paraId="0F790DAE" w14:textId="77777777" w:rsidR="00FF74D2" w:rsidRDefault="00FF74D2" w:rsidP="00206674">
      <w:pPr>
        <w:spacing w:line="240" w:lineRule="auto"/>
        <w:contextualSpacing/>
        <w:rPr>
          <w:rFonts w:ascii="Abadi" w:hAnsi="Abadi" w:cstheme="minorHAnsi"/>
          <w:bCs/>
          <w:sz w:val="20"/>
          <w:szCs w:val="20"/>
          <w:lang w:val="es-ES_tradnl"/>
        </w:rPr>
      </w:pPr>
    </w:p>
    <w:p w14:paraId="3D46A006" w14:textId="2134B8FE" w:rsidR="009276B1" w:rsidRDefault="006A7C7F" w:rsidP="00206674">
      <w:pPr>
        <w:spacing w:line="240" w:lineRule="auto"/>
        <w:contextualSpacing/>
      </w:pPr>
      <w:r>
        <w:rPr>
          <w:lang w:val="es-ES_tradnl"/>
        </w:rPr>
        <w:fldChar w:fldCharType="begin"/>
      </w:r>
      <w:r>
        <w:rPr>
          <w:lang w:val="es-ES_tradnl"/>
        </w:rPr>
        <w:instrText xml:space="preserve"> LINK </w:instrText>
      </w:r>
      <w:r w:rsidR="009276B1">
        <w:rPr>
          <w:lang w:val="es-ES_tradnl"/>
        </w:rPr>
        <w:instrText xml:space="preserve">Excel.Sheet.12 "https://sipen.sharepoint.com/Contabilidad/DIGECOP-2013 --PLO/2025/DIGECOG Corte Semestral SISACNOC Junio 2025/Estados Financieros Completo Corte 2025 SIPEN_Sisacnoc.xlsx" "NOTAS 7 AL 27!F448C3:F449C4" </w:instrText>
      </w:r>
      <w:r>
        <w:rPr>
          <w:lang w:val="es-ES_tradnl"/>
        </w:rPr>
        <w:instrText xml:space="preserve">\a \f 4 \h </w:instrText>
      </w:r>
      <w:r w:rsidR="00AD47E3">
        <w:rPr>
          <w:lang w:val="es-ES_tradnl"/>
        </w:rPr>
        <w:instrText xml:space="preserve"> \* MERGEFORMAT </w:instrText>
      </w:r>
      <w:r w:rsidR="009276B1">
        <w:rPr>
          <w:lang w:val="es-ES_tradnl"/>
        </w:rPr>
        <w:fldChar w:fldCharType="separate"/>
      </w:r>
    </w:p>
    <w:tbl>
      <w:tblPr>
        <w:tblW w:w="7186" w:type="dxa"/>
        <w:tblInd w:w="15" w:type="dxa"/>
        <w:tblCellMar>
          <w:left w:w="70" w:type="dxa"/>
          <w:right w:w="70" w:type="dxa"/>
        </w:tblCellMar>
        <w:tblLook w:val="04A0" w:firstRow="1" w:lastRow="0" w:firstColumn="1" w:lastColumn="0" w:noHBand="0" w:noVBand="1"/>
      </w:tblPr>
      <w:tblGrid>
        <w:gridCol w:w="3986"/>
        <w:gridCol w:w="3200"/>
      </w:tblGrid>
      <w:tr w:rsidR="009276B1" w:rsidRPr="009276B1" w14:paraId="0496F75E" w14:textId="77777777" w:rsidTr="009276B1">
        <w:trPr>
          <w:trHeight w:val="916"/>
        </w:trPr>
        <w:tc>
          <w:tcPr>
            <w:tcW w:w="3986" w:type="dxa"/>
            <w:vAlign w:val="center"/>
            <w:hideMark/>
          </w:tcPr>
          <w:p w14:paraId="7009413D" w14:textId="4A41116F" w:rsidR="009276B1" w:rsidRPr="009276B1" w:rsidRDefault="009276B1" w:rsidP="009276B1">
            <w:pPr>
              <w:spacing w:after="0" w:line="240" w:lineRule="auto"/>
              <w:jc w:val="both"/>
              <w:rPr>
                <w:rFonts w:ascii="Abadi" w:eastAsia="Times New Roman" w:hAnsi="Abadi" w:cs="Calibri"/>
                <w:b/>
                <w:bCs/>
                <w:color w:val="000000"/>
                <w:sz w:val="20"/>
                <w:szCs w:val="20"/>
                <w:lang w:val="es-DO" w:eastAsia="es-DO"/>
              </w:rPr>
            </w:pPr>
            <w:r w:rsidRPr="009276B1">
              <w:rPr>
                <w:rFonts w:ascii="Abadi" w:eastAsia="Times New Roman" w:hAnsi="Abadi" w:cs="Calibri"/>
                <w:b/>
                <w:bCs/>
                <w:color w:val="000000"/>
                <w:sz w:val="20"/>
                <w:szCs w:val="20"/>
                <w:lang w:val="es-DO" w:eastAsia="es-DO"/>
              </w:rPr>
              <w:t>Proveedores Locales por Pagar a Corto Plazo</w:t>
            </w:r>
          </w:p>
        </w:tc>
        <w:tc>
          <w:tcPr>
            <w:tcW w:w="3200" w:type="dxa"/>
            <w:shd w:val="clear" w:color="auto" w:fill="0070C0"/>
            <w:vAlign w:val="center"/>
            <w:hideMark/>
          </w:tcPr>
          <w:p w14:paraId="2E18B2FA" w14:textId="77777777" w:rsidR="009276B1" w:rsidRPr="009276B1" w:rsidRDefault="009276B1" w:rsidP="009276B1">
            <w:pPr>
              <w:spacing w:after="0" w:line="240" w:lineRule="auto"/>
              <w:jc w:val="center"/>
              <w:rPr>
                <w:rFonts w:ascii="Abadi Extra Light" w:eastAsia="Times New Roman" w:hAnsi="Abadi Extra Light" w:cs="Calibri"/>
                <w:b/>
                <w:bCs/>
                <w:color w:val="FFFFFF" w:themeColor="background1"/>
                <w:sz w:val="24"/>
                <w:szCs w:val="24"/>
                <w:lang w:val="es-DO" w:eastAsia="es-DO"/>
              </w:rPr>
            </w:pPr>
            <w:r w:rsidRPr="009276B1">
              <w:rPr>
                <w:rFonts w:ascii="Abadi Extra Light" w:eastAsia="Times New Roman" w:hAnsi="Abadi Extra Light" w:cs="Calibri"/>
                <w:b/>
                <w:bCs/>
                <w:color w:val="FFFFFF" w:themeColor="background1"/>
                <w:sz w:val="24"/>
                <w:szCs w:val="24"/>
                <w:lang w:val="es-DO" w:eastAsia="es-DO"/>
              </w:rPr>
              <w:t>Monto Pendiente RD$</w:t>
            </w:r>
          </w:p>
        </w:tc>
      </w:tr>
      <w:tr w:rsidR="009276B1" w:rsidRPr="009276B1" w14:paraId="55215FFA" w14:textId="77777777" w:rsidTr="009276B1">
        <w:trPr>
          <w:trHeight w:val="542"/>
        </w:trPr>
        <w:tc>
          <w:tcPr>
            <w:tcW w:w="3986" w:type="dxa"/>
            <w:vAlign w:val="bottom"/>
            <w:hideMark/>
          </w:tcPr>
          <w:p w14:paraId="2E9C7CC2"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r w:rsidRPr="009276B1">
              <w:rPr>
                <w:rFonts w:ascii="Abadi Extra Light" w:eastAsia="Times New Roman" w:hAnsi="Abadi Extra Light" w:cs="Calibri"/>
                <w:color w:val="000000"/>
                <w:sz w:val="24"/>
                <w:szCs w:val="24"/>
                <w:lang w:val="es-DO" w:eastAsia="es-DO"/>
              </w:rPr>
              <w:t xml:space="preserve">Grupo </w:t>
            </w:r>
            <w:proofErr w:type="spellStart"/>
            <w:r w:rsidRPr="009276B1">
              <w:rPr>
                <w:rFonts w:ascii="Abadi Extra Light" w:eastAsia="Times New Roman" w:hAnsi="Abadi Extra Light" w:cs="Calibri"/>
                <w:color w:val="000000"/>
                <w:sz w:val="24"/>
                <w:szCs w:val="24"/>
                <w:lang w:val="es-DO" w:eastAsia="es-DO"/>
              </w:rPr>
              <w:t>Insolis</w:t>
            </w:r>
            <w:proofErr w:type="spellEnd"/>
            <w:r w:rsidRPr="009276B1">
              <w:rPr>
                <w:rFonts w:ascii="Abadi Extra Light" w:eastAsia="Times New Roman" w:hAnsi="Abadi Extra Light" w:cs="Calibri"/>
                <w:color w:val="000000"/>
                <w:sz w:val="24"/>
                <w:szCs w:val="24"/>
                <w:lang w:val="es-DO" w:eastAsia="es-DO"/>
              </w:rPr>
              <w:t>, SRL</w:t>
            </w:r>
          </w:p>
        </w:tc>
        <w:tc>
          <w:tcPr>
            <w:tcW w:w="3200" w:type="dxa"/>
            <w:vAlign w:val="bottom"/>
            <w:hideMark/>
          </w:tcPr>
          <w:p w14:paraId="446AED60" w14:textId="77777777" w:rsidR="009276B1" w:rsidRPr="009276B1" w:rsidRDefault="009276B1" w:rsidP="009276B1">
            <w:pPr>
              <w:spacing w:after="0" w:line="240" w:lineRule="auto"/>
              <w:jc w:val="center"/>
              <w:rPr>
                <w:rFonts w:ascii="Abadi Extra Light" w:eastAsia="Times New Roman" w:hAnsi="Abadi Extra Light" w:cs="Calibri"/>
                <w:b/>
                <w:bCs/>
                <w:sz w:val="24"/>
                <w:szCs w:val="24"/>
                <w:lang w:val="es-DO" w:eastAsia="es-DO"/>
              </w:rPr>
            </w:pPr>
            <w:r w:rsidRPr="009276B1">
              <w:rPr>
                <w:rFonts w:ascii="Abadi Extra Light" w:eastAsia="Times New Roman" w:hAnsi="Abadi Extra Light" w:cs="Calibri"/>
                <w:b/>
                <w:bCs/>
                <w:sz w:val="24"/>
                <w:szCs w:val="24"/>
                <w:lang w:val="es-DO" w:eastAsia="es-DO"/>
              </w:rPr>
              <w:t xml:space="preserve">                56,468.78 </w:t>
            </w:r>
          </w:p>
        </w:tc>
      </w:tr>
    </w:tbl>
    <w:p w14:paraId="3A4856CB" w14:textId="55C105ED" w:rsidR="00A45A6C" w:rsidRDefault="006A7C7F" w:rsidP="00206674">
      <w:pPr>
        <w:spacing w:line="240" w:lineRule="auto"/>
        <w:contextualSpacing/>
        <w:rPr>
          <w:rFonts w:ascii="Abadi" w:hAnsi="Abadi" w:cstheme="minorHAnsi"/>
          <w:bCs/>
          <w:sz w:val="20"/>
          <w:szCs w:val="20"/>
          <w:lang w:val="es-ES_tradnl"/>
        </w:rPr>
      </w:pPr>
      <w:r>
        <w:rPr>
          <w:rFonts w:ascii="Abadi" w:hAnsi="Abadi" w:cstheme="minorHAnsi"/>
          <w:bCs/>
          <w:sz w:val="20"/>
          <w:szCs w:val="20"/>
          <w:lang w:val="es-ES_tradnl"/>
        </w:rPr>
        <w:fldChar w:fldCharType="end"/>
      </w:r>
    </w:p>
    <w:p w14:paraId="05317313" w14:textId="0D8758CE" w:rsidR="009276B1" w:rsidRDefault="00741702" w:rsidP="00206674">
      <w:pPr>
        <w:spacing w:line="240" w:lineRule="auto"/>
        <w:contextualSpacing/>
      </w:pPr>
      <w:r>
        <w:rPr>
          <w:lang w:val="es-ES_tradnl"/>
        </w:rPr>
        <w:fldChar w:fldCharType="begin"/>
      </w:r>
      <w:r>
        <w:rPr>
          <w:lang w:val="es-ES_tradnl"/>
        </w:rPr>
        <w:instrText xml:space="preserve"> LINK </w:instrText>
      </w:r>
      <w:r w:rsidR="009276B1">
        <w:rPr>
          <w:lang w:val="es-ES_tradnl"/>
        </w:rPr>
        <w:instrText xml:space="preserve">Excel.Sheet.12 "https://sipen.sharepoint.com/Contabilidad/DIGECOP-2013 --PLO/2025/DIGECOG Corte Semestral SISACNOC Junio 2025/Estados Financieros Completo Corte 2025 SIPEN_Sisacnoc.xlsx" "NOTAS 7 AL 27!F451C3:F459C4" </w:instrText>
      </w:r>
      <w:r>
        <w:rPr>
          <w:lang w:val="es-ES_tradnl"/>
        </w:rPr>
        <w:instrText xml:space="preserve">\a \f 4 \h  \* MERGEFORMAT </w:instrText>
      </w:r>
      <w:r w:rsidR="009276B1">
        <w:rPr>
          <w:lang w:val="es-ES_tradnl"/>
        </w:rPr>
        <w:fldChar w:fldCharType="separate"/>
      </w:r>
    </w:p>
    <w:tbl>
      <w:tblPr>
        <w:tblW w:w="7137" w:type="dxa"/>
        <w:tblInd w:w="15" w:type="dxa"/>
        <w:tblCellMar>
          <w:left w:w="70" w:type="dxa"/>
          <w:right w:w="70" w:type="dxa"/>
        </w:tblCellMar>
        <w:tblLook w:val="04A0" w:firstRow="1" w:lastRow="0" w:firstColumn="1" w:lastColumn="0" w:noHBand="0" w:noVBand="1"/>
      </w:tblPr>
      <w:tblGrid>
        <w:gridCol w:w="4001"/>
        <w:gridCol w:w="3136"/>
      </w:tblGrid>
      <w:tr w:rsidR="009276B1" w:rsidRPr="009276B1" w14:paraId="54B06621" w14:textId="77777777" w:rsidTr="009276B1">
        <w:trPr>
          <w:trHeight w:val="912"/>
        </w:trPr>
        <w:tc>
          <w:tcPr>
            <w:tcW w:w="4001" w:type="dxa"/>
            <w:vAlign w:val="center"/>
            <w:hideMark/>
          </w:tcPr>
          <w:p w14:paraId="5967A0C4" w14:textId="6F96BF2F" w:rsidR="009276B1" w:rsidRPr="009276B1" w:rsidRDefault="009276B1" w:rsidP="009276B1">
            <w:pPr>
              <w:spacing w:after="0" w:line="240" w:lineRule="auto"/>
              <w:jc w:val="both"/>
              <w:rPr>
                <w:rFonts w:ascii="Abadi" w:eastAsia="Times New Roman" w:hAnsi="Abadi" w:cs="Calibri"/>
                <w:b/>
                <w:bCs/>
                <w:color w:val="000000"/>
                <w:sz w:val="20"/>
                <w:szCs w:val="20"/>
                <w:lang w:val="es-DO" w:eastAsia="es-DO"/>
              </w:rPr>
            </w:pPr>
            <w:r w:rsidRPr="009276B1">
              <w:rPr>
                <w:rFonts w:ascii="Abadi" w:eastAsia="Times New Roman" w:hAnsi="Abadi" w:cs="Calibri"/>
                <w:b/>
                <w:bCs/>
                <w:color w:val="000000"/>
                <w:sz w:val="20"/>
                <w:szCs w:val="20"/>
                <w:lang w:val="es-DO" w:eastAsia="es-DO"/>
              </w:rPr>
              <w:t>Proveedores de Servicios por Pagar a Corto Plazo</w:t>
            </w:r>
          </w:p>
        </w:tc>
        <w:tc>
          <w:tcPr>
            <w:tcW w:w="3136" w:type="dxa"/>
            <w:shd w:val="clear" w:color="auto" w:fill="0070C0"/>
            <w:vAlign w:val="center"/>
            <w:hideMark/>
          </w:tcPr>
          <w:p w14:paraId="778F6F5E" w14:textId="77777777" w:rsidR="009276B1" w:rsidRPr="009276B1" w:rsidRDefault="009276B1" w:rsidP="009276B1">
            <w:pPr>
              <w:spacing w:after="0" w:line="240" w:lineRule="auto"/>
              <w:jc w:val="center"/>
              <w:rPr>
                <w:rFonts w:ascii="Abadi Extra Light" w:eastAsia="Times New Roman" w:hAnsi="Abadi Extra Light" w:cs="Calibri"/>
                <w:b/>
                <w:bCs/>
                <w:color w:val="FFFFFF" w:themeColor="background1"/>
                <w:sz w:val="24"/>
                <w:szCs w:val="24"/>
                <w:lang w:val="es-DO" w:eastAsia="es-DO"/>
              </w:rPr>
            </w:pPr>
            <w:r w:rsidRPr="009276B1">
              <w:rPr>
                <w:rFonts w:ascii="Abadi Extra Light" w:eastAsia="Times New Roman" w:hAnsi="Abadi Extra Light" w:cs="Calibri"/>
                <w:b/>
                <w:bCs/>
                <w:color w:val="FFFFFF" w:themeColor="background1"/>
                <w:sz w:val="24"/>
                <w:szCs w:val="24"/>
                <w:lang w:val="es-DO" w:eastAsia="es-DO"/>
              </w:rPr>
              <w:t>Monto Pendiente RD$</w:t>
            </w:r>
          </w:p>
        </w:tc>
      </w:tr>
      <w:tr w:rsidR="009276B1" w:rsidRPr="009276B1" w14:paraId="4F4A21A3" w14:textId="77777777" w:rsidTr="009276B1">
        <w:trPr>
          <w:trHeight w:val="834"/>
        </w:trPr>
        <w:tc>
          <w:tcPr>
            <w:tcW w:w="4001" w:type="dxa"/>
            <w:vAlign w:val="bottom"/>
            <w:hideMark/>
          </w:tcPr>
          <w:p w14:paraId="0E4AD8EE"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r w:rsidRPr="009276B1">
              <w:rPr>
                <w:rFonts w:ascii="Abadi Extra Light" w:eastAsia="Times New Roman" w:hAnsi="Abadi Extra Light" w:cs="Calibri"/>
                <w:color w:val="000000"/>
                <w:sz w:val="24"/>
                <w:szCs w:val="24"/>
                <w:lang w:val="es-DO" w:eastAsia="es-DO"/>
              </w:rPr>
              <w:t>DR&amp;R Abogados y Consultores Fiscales, SRL.</w:t>
            </w:r>
          </w:p>
        </w:tc>
        <w:tc>
          <w:tcPr>
            <w:tcW w:w="3136" w:type="dxa"/>
            <w:vAlign w:val="bottom"/>
            <w:hideMark/>
          </w:tcPr>
          <w:p w14:paraId="6870ED3D" w14:textId="77777777" w:rsidR="009276B1" w:rsidRPr="009276B1" w:rsidRDefault="009276B1" w:rsidP="009276B1">
            <w:pPr>
              <w:spacing w:after="0" w:line="240" w:lineRule="auto"/>
              <w:jc w:val="right"/>
              <w:rPr>
                <w:rFonts w:ascii="Abadi Extra Light" w:eastAsia="Times New Roman" w:hAnsi="Abadi Extra Light" w:cs="Calibri"/>
                <w:sz w:val="24"/>
                <w:szCs w:val="24"/>
                <w:lang w:val="es-DO" w:eastAsia="es-DO"/>
              </w:rPr>
            </w:pPr>
            <w:r w:rsidRPr="009276B1">
              <w:rPr>
                <w:rFonts w:ascii="Abadi Extra Light" w:eastAsia="Times New Roman" w:hAnsi="Abadi Extra Light" w:cs="Calibri"/>
                <w:sz w:val="24"/>
                <w:szCs w:val="24"/>
                <w:lang w:val="es-DO" w:eastAsia="es-DO"/>
              </w:rPr>
              <w:t xml:space="preserve">                 1,133,578.80 </w:t>
            </w:r>
          </w:p>
        </w:tc>
      </w:tr>
      <w:tr w:rsidR="009276B1" w:rsidRPr="009276B1" w14:paraId="0DEC2B65" w14:textId="77777777" w:rsidTr="009276B1">
        <w:trPr>
          <w:trHeight w:val="448"/>
        </w:trPr>
        <w:tc>
          <w:tcPr>
            <w:tcW w:w="4001" w:type="dxa"/>
            <w:vAlign w:val="bottom"/>
            <w:hideMark/>
          </w:tcPr>
          <w:p w14:paraId="69F95A4E"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proofErr w:type="spellStart"/>
            <w:r w:rsidRPr="009276B1">
              <w:rPr>
                <w:rFonts w:ascii="Abadi Extra Light" w:eastAsia="Times New Roman" w:hAnsi="Abadi Extra Light" w:cs="Calibri"/>
                <w:color w:val="000000"/>
                <w:sz w:val="24"/>
                <w:szCs w:val="24"/>
                <w:lang w:val="es-DO" w:eastAsia="es-DO"/>
              </w:rPr>
              <w:t>Avacomp</w:t>
            </w:r>
            <w:proofErr w:type="spellEnd"/>
            <w:r w:rsidRPr="009276B1">
              <w:rPr>
                <w:rFonts w:ascii="Abadi Extra Light" w:eastAsia="Times New Roman" w:hAnsi="Abadi Extra Light" w:cs="Calibri"/>
                <w:color w:val="000000"/>
                <w:sz w:val="24"/>
                <w:szCs w:val="24"/>
                <w:lang w:val="es-DO" w:eastAsia="es-DO"/>
              </w:rPr>
              <w:t xml:space="preserve"> </w:t>
            </w:r>
            <w:proofErr w:type="spellStart"/>
            <w:r w:rsidRPr="009276B1">
              <w:rPr>
                <w:rFonts w:ascii="Abadi Extra Light" w:eastAsia="Times New Roman" w:hAnsi="Abadi Extra Light" w:cs="Calibri"/>
                <w:color w:val="000000"/>
                <w:sz w:val="24"/>
                <w:szCs w:val="24"/>
                <w:lang w:val="es-DO" w:eastAsia="es-DO"/>
              </w:rPr>
              <w:t>Corporation</w:t>
            </w:r>
            <w:proofErr w:type="spellEnd"/>
            <w:r w:rsidRPr="009276B1">
              <w:rPr>
                <w:rFonts w:ascii="Abadi Extra Light" w:eastAsia="Times New Roman" w:hAnsi="Abadi Extra Light" w:cs="Calibri"/>
                <w:color w:val="000000"/>
                <w:sz w:val="24"/>
                <w:szCs w:val="24"/>
                <w:lang w:val="es-DO" w:eastAsia="es-DO"/>
              </w:rPr>
              <w:t>, SRL</w:t>
            </w:r>
          </w:p>
        </w:tc>
        <w:tc>
          <w:tcPr>
            <w:tcW w:w="3136" w:type="dxa"/>
            <w:vAlign w:val="bottom"/>
            <w:hideMark/>
          </w:tcPr>
          <w:p w14:paraId="1E0A585A" w14:textId="77777777" w:rsidR="009276B1" w:rsidRPr="009276B1" w:rsidRDefault="009276B1" w:rsidP="009276B1">
            <w:pPr>
              <w:spacing w:after="0" w:line="240" w:lineRule="auto"/>
              <w:jc w:val="right"/>
              <w:rPr>
                <w:rFonts w:ascii="Abadi Extra Light" w:eastAsia="Times New Roman" w:hAnsi="Abadi Extra Light" w:cs="Calibri"/>
                <w:sz w:val="24"/>
                <w:szCs w:val="24"/>
                <w:lang w:val="es-DO" w:eastAsia="es-DO"/>
              </w:rPr>
            </w:pPr>
            <w:r w:rsidRPr="009276B1">
              <w:rPr>
                <w:rFonts w:ascii="Abadi Extra Light" w:eastAsia="Times New Roman" w:hAnsi="Abadi Extra Light" w:cs="Calibri"/>
                <w:sz w:val="24"/>
                <w:szCs w:val="24"/>
                <w:lang w:val="es-DO" w:eastAsia="es-DO"/>
              </w:rPr>
              <w:t xml:space="preserve">                     88,500.00 </w:t>
            </w:r>
          </w:p>
        </w:tc>
      </w:tr>
      <w:tr w:rsidR="009276B1" w:rsidRPr="009276B1" w14:paraId="5541DD2D" w14:textId="77777777" w:rsidTr="009276B1">
        <w:trPr>
          <w:trHeight w:val="448"/>
        </w:trPr>
        <w:tc>
          <w:tcPr>
            <w:tcW w:w="4001" w:type="dxa"/>
            <w:vAlign w:val="bottom"/>
            <w:hideMark/>
          </w:tcPr>
          <w:p w14:paraId="38498C19"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proofErr w:type="spellStart"/>
            <w:r w:rsidRPr="009276B1">
              <w:rPr>
                <w:rFonts w:ascii="Abadi Extra Light" w:eastAsia="Times New Roman" w:hAnsi="Abadi Extra Light" w:cs="Calibri"/>
                <w:color w:val="000000"/>
                <w:sz w:val="24"/>
                <w:szCs w:val="24"/>
                <w:lang w:val="es-DO" w:eastAsia="es-DO"/>
              </w:rPr>
              <w:t>Unipago</w:t>
            </w:r>
            <w:proofErr w:type="spellEnd"/>
            <w:r w:rsidRPr="009276B1">
              <w:rPr>
                <w:rFonts w:ascii="Abadi Extra Light" w:eastAsia="Times New Roman" w:hAnsi="Abadi Extra Light" w:cs="Calibri"/>
                <w:color w:val="000000"/>
                <w:sz w:val="24"/>
                <w:szCs w:val="24"/>
                <w:lang w:val="es-DO" w:eastAsia="es-DO"/>
              </w:rPr>
              <w:t>, S.A.</w:t>
            </w:r>
          </w:p>
        </w:tc>
        <w:tc>
          <w:tcPr>
            <w:tcW w:w="3136" w:type="dxa"/>
            <w:vAlign w:val="bottom"/>
            <w:hideMark/>
          </w:tcPr>
          <w:p w14:paraId="78905CB7" w14:textId="77777777" w:rsidR="009276B1" w:rsidRPr="009276B1" w:rsidRDefault="009276B1" w:rsidP="009276B1">
            <w:pPr>
              <w:spacing w:after="0" w:line="240" w:lineRule="auto"/>
              <w:jc w:val="right"/>
              <w:rPr>
                <w:rFonts w:ascii="Abadi Extra Light" w:eastAsia="Times New Roman" w:hAnsi="Abadi Extra Light" w:cs="Calibri"/>
                <w:sz w:val="24"/>
                <w:szCs w:val="24"/>
                <w:lang w:val="es-DO" w:eastAsia="es-DO"/>
              </w:rPr>
            </w:pPr>
            <w:r w:rsidRPr="009276B1">
              <w:rPr>
                <w:rFonts w:ascii="Abadi Extra Light" w:eastAsia="Times New Roman" w:hAnsi="Abadi Extra Light" w:cs="Calibri"/>
                <w:sz w:val="24"/>
                <w:szCs w:val="24"/>
                <w:lang w:val="es-DO" w:eastAsia="es-DO"/>
              </w:rPr>
              <w:t xml:space="preserve">                   659,628.44 </w:t>
            </w:r>
          </w:p>
        </w:tc>
      </w:tr>
      <w:tr w:rsidR="009276B1" w:rsidRPr="009276B1" w14:paraId="72256512" w14:textId="77777777" w:rsidTr="009276B1">
        <w:trPr>
          <w:trHeight w:val="448"/>
        </w:trPr>
        <w:tc>
          <w:tcPr>
            <w:tcW w:w="4001" w:type="dxa"/>
            <w:vAlign w:val="bottom"/>
            <w:hideMark/>
          </w:tcPr>
          <w:p w14:paraId="5ACEFB8F"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r w:rsidRPr="009276B1">
              <w:rPr>
                <w:rFonts w:ascii="Abadi Extra Light" w:eastAsia="Times New Roman" w:hAnsi="Abadi Extra Light" w:cs="Calibri"/>
                <w:color w:val="000000"/>
                <w:sz w:val="24"/>
                <w:szCs w:val="24"/>
                <w:lang w:val="es-DO" w:eastAsia="es-DO"/>
              </w:rPr>
              <w:t xml:space="preserve">Geraldo Antonio De </w:t>
            </w:r>
            <w:proofErr w:type="spellStart"/>
            <w:r w:rsidRPr="009276B1">
              <w:rPr>
                <w:rFonts w:ascii="Abadi Extra Light" w:eastAsia="Times New Roman" w:hAnsi="Abadi Extra Light" w:cs="Calibri"/>
                <w:color w:val="000000"/>
                <w:sz w:val="24"/>
                <w:szCs w:val="24"/>
                <w:lang w:val="es-DO" w:eastAsia="es-DO"/>
              </w:rPr>
              <w:t>Leon</w:t>
            </w:r>
            <w:proofErr w:type="spellEnd"/>
            <w:r w:rsidRPr="009276B1">
              <w:rPr>
                <w:rFonts w:ascii="Abadi Extra Light" w:eastAsia="Times New Roman" w:hAnsi="Abadi Extra Light" w:cs="Calibri"/>
                <w:color w:val="000000"/>
                <w:sz w:val="24"/>
                <w:szCs w:val="24"/>
                <w:lang w:val="es-DO" w:eastAsia="es-DO"/>
              </w:rPr>
              <w:t xml:space="preserve"> De </w:t>
            </w:r>
            <w:proofErr w:type="spellStart"/>
            <w:r w:rsidRPr="009276B1">
              <w:rPr>
                <w:rFonts w:ascii="Abadi Extra Light" w:eastAsia="Times New Roman" w:hAnsi="Abadi Extra Light" w:cs="Calibri"/>
                <w:color w:val="000000"/>
                <w:sz w:val="24"/>
                <w:szCs w:val="24"/>
                <w:lang w:val="es-DO" w:eastAsia="es-DO"/>
              </w:rPr>
              <w:t>Leon</w:t>
            </w:r>
            <w:proofErr w:type="spellEnd"/>
          </w:p>
        </w:tc>
        <w:tc>
          <w:tcPr>
            <w:tcW w:w="3136" w:type="dxa"/>
            <w:vAlign w:val="bottom"/>
            <w:hideMark/>
          </w:tcPr>
          <w:p w14:paraId="51959296" w14:textId="77777777" w:rsidR="009276B1" w:rsidRPr="009276B1" w:rsidRDefault="009276B1" w:rsidP="009276B1">
            <w:pPr>
              <w:spacing w:after="0" w:line="240" w:lineRule="auto"/>
              <w:jc w:val="right"/>
              <w:rPr>
                <w:rFonts w:ascii="Abadi Extra Light" w:eastAsia="Times New Roman" w:hAnsi="Abadi Extra Light" w:cs="Calibri"/>
                <w:sz w:val="24"/>
                <w:szCs w:val="24"/>
                <w:lang w:val="es-DO" w:eastAsia="es-DO"/>
              </w:rPr>
            </w:pPr>
            <w:r w:rsidRPr="009276B1">
              <w:rPr>
                <w:rFonts w:ascii="Abadi Extra Light" w:eastAsia="Times New Roman" w:hAnsi="Abadi Extra Light" w:cs="Calibri"/>
                <w:sz w:val="24"/>
                <w:szCs w:val="24"/>
                <w:lang w:val="es-DO" w:eastAsia="es-DO"/>
              </w:rPr>
              <w:t xml:space="preserve">                     23,600.00 </w:t>
            </w:r>
          </w:p>
        </w:tc>
      </w:tr>
      <w:tr w:rsidR="009276B1" w:rsidRPr="009276B1" w14:paraId="277DAD83" w14:textId="77777777" w:rsidTr="009276B1">
        <w:trPr>
          <w:trHeight w:val="448"/>
        </w:trPr>
        <w:tc>
          <w:tcPr>
            <w:tcW w:w="4001" w:type="dxa"/>
            <w:vAlign w:val="bottom"/>
            <w:hideMark/>
          </w:tcPr>
          <w:p w14:paraId="1FA368EA"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r w:rsidRPr="009276B1">
              <w:rPr>
                <w:rFonts w:ascii="Abadi Extra Light" w:eastAsia="Times New Roman" w:hAnsi="Abadi Extra Light" w:cs="Calibri"/>
                <w:color w:val="000000"/>
                <w:sz w:val="24"/>
                <w:szCs w:val="24"/>
                <w:lang w:val="es-DO" w:eastAsia="es-DO"/>
              </w:rPr>
              <w:t xml:space="preserve">Producciones </w:t>
            </w:r>
            <w:proofErr w:type="spellStart"/>
            <w:r w:rsidRPr="009276B1">
              <w:rPr>
                <w:rFonts w:ascii="Abadi Extra Light" w:eastAsia="Times New Roman" w:hAnsi="Abadi Extra Light" w:cs="Calibri"/>
                <w:color w:val="000000"/>
                <w:sz w:val="24"/>
                <w:szCs w:val="24"/>
                <w:lang w:val="es-DO" w:eastAsia="es-DO"/>
              </w:rPr>
              <w:t>Wsac</w:t>
            </w:r>
            <w:proofErr w:type="spellEnd"/>
            <w:r w:rsidRPr="009276B1">
              <w:rPr>
                <w:rFonts w:ascii="Abadi Extra Light" w:eastAsia="Times New Roman" w:hAnsi="Abadi Extra Light" w:cs="Calibri"/>
                <w:color w:val="000000"/>
                <w:sz w:val="24"/>
                <w:szCs w:val="24"/>
                <w:lang w:val="es-DO" w:eastAsia="es-DO"/>
              </w:rPr>
              <w:t xml:space="preserve"> EIRL</w:t>
            </w:r>
          </w:p>
        </w:tc>
        <w:tc>
          <w:tcPr>
            <w:tcW w:w="3136" w:type="dxa"/>
            <w:vAlign w:val="bottom"/>
            <w:hideMark/>
          </w:tcPr>
          <w:p w14:paraId="5AFC98C5" w14:textId="77777777" w:rsidR="009276B1" w:rsidRPr="009276B1" w:rsidRDefault="009276B1" w:rsidP="009276B1">
            <w:pPr>
              <w:spacing w:after="0" w:line="240" w:lineRule="auto"/>
              <w:jc w:val="right"/>
              <w:rPr>
                <w:rFonts w:ascii="Abadi Extra Light" w:eastAsia="Times New Roman" w:hAnsi="Abadi Extra Light" w:cs="Calibri"/>
                <w:sz w:val="24"/>
                <w:szCs w:val="24"/>
                <w:lang w:val="es-DO" w:eastAsia="es-DO"/>
              </w:rPr>
            </w:pPr>
            <w:r w:rsidRPr="009276B1">
              <w:rPr>
                <w:rFonts w:ascii="Abadi Extra Light" w:eastAsia="Times New Roman" w:hAnsi="Abadi Extra Light" w:cs="Calibri"/>
                <w:sz w:val="24"/>
                <w:szCs w:val="24"/>
                <w:lang w:val="es-DO" w:eastAsia="es-DO"/>
              </w:rPr>
              <w:t xml:space="preserve">                   212,400.00 </w:t>
            </w:r>
          </w:p>
        </w:tc>
      </w:tr>
      <w:tr w:rsidR="009276B1" w:rsidRPr="009276B1" w14:paraId="3192DC73" w14:textId="77777777" w:rsidTr="009276B1">
        <w:trPr>
          <w:trHeight w:val="448"/>
        </w:trPr>
        <w:tc>
          <w:tcPr>
            <w:tcW w:w="4001" w:type="dxa"/>
            <w:vAlign w:val="bottom"/>
            <w:hideMark/>
          </w:tcPr>
          <w:p w14:paraId="1B763C4E"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r w:rsidRPr="009276B1">
              <w:rPr>
                <w:rFonts w:ascii="Abadi Extra Light" w:eastAsia="Times New Roman" w:hAnsi="Abadi Extra Light" w:cs="Calibri"/>
                <w:color w:val="000000"/>
                <w:sz w:val="24"/>
                <w:szCs w:val="24"/>
                <w:lang w:val="es-DO" w:eastAsia="es-DO"/>
              </w:rPr>
              <w:t>Rock Media Group, SRL</w:t>
            </w:r>
          </w:p>
        </w:tc>
        <w:tc>
          <w:tcPr>
            <w:tcW w:w="3136" w:type="dxa"/>
            <w:vAlign w:val="bottom"/>
            <w:hideMark/>
          </w:tcPr>
          <w:p w14:paraId="21F43B47" w14:textId="77777777" w:rsidR="009276B1" w:rsidRPr="009276B1" w:rsidRDefault="009276B1" w:rsidP="009276B1">
            <w:pPr>
              <w:spacing w:after="0" w:line="240" w:lineRule="auto"/>
              <w:jc w:val="right"/>
              <w:rPr>
                <w:rFonts w:ascii="Abadi Extra Light" w:eastAsia="Times New Roman" w:hAnsi="Abadi Extra Light" w:cs="Calibri"/>
                <w:sz w:val="24"/>
                <w:szCs w:val="24"/>
                <w:lang w:val="es-DO" w:eastAsia="es-DO"/>
              </w:rPr>
            </w:pPr>
            <w:r w:rsidRPr="009276B1">
              <w:rPr>
                <w:rFonts w:ascii="Abadi Extra Light" w:eastAsia="Times New Roman" w:hAnsi="Abadi Extra Light" w:cs="Calibri"/>
                <w:sz w:val="24"/>
                <w:szCs w:val="24"/>
                <w:lang w:val="es-DO" w:eastAsia="es-DO"/>
              </w:rPr>
              <w:t xml:space="preserve">                     59,000.00 </w:t>
            </w:r>
          </w:p>
        </w:tc>
      </w:tr>
      <w:tr w:rsidR="009276B1" w:rsidRPr="009276B1" w14:paraId="700CBEF7" w14:textId="77777777" w:rsidTr="009276B1">
        <w:trPr>
          <w:trHeight w:val="448"/>
        </w:trPr>
        <w:tc>
          <w:tcPr>
            <w:tcW w:w="4001" w:type="dxa"/>
            <w:vAlign w:val="bottom"/>
            <w:hideMark/>
          </w:tcPr>
          <w:p w14:paraId="6A1FF075" w14:textId="77777777" w:rsidR="009276B1" w:rsidRPr="009276B1" w:rsidRDefault="009276B1" w:rsidP="009276B1">
            <w:pPr>
              <w:spacing w:after="0" w:line="240" w:lineRule="auto"/>
              <w:rPr>
                <w:rFonts w:ascii="Abadi Extra Light" w:eastAsia="Times New Roman" w:hAnsi="Abadi Extra Light" w:cs="Calibri"/>
                <w:color w:val="000000"/>
                <w:sz w:val="24"/>
                <w:szCs w:val="24"/>
                <w:lang w:val="es-DO" w:eastAsia="es-DO"/>
              </w:rPr>
            </w:pPr>
            <w:r w:rsidRPr="009276B1">
              <w:rPr>
                <w:rFonts w:ascii="Abadi Extra Light" w:eastAsia="Times New Roman" w:hAnsi="Abadi Extra Light" w:cs="Calibri"/>
                <w:color w:val="000000"/>
                <w:sz w:val="24"/>
                <w:szCs w:val="24"/>
                <w:lang w:val="es-DO" w:eastAsia="es-DO"/>
              </w:rPr>
              <w:t>Rock Media Group, SRL</w:t>
            </w:r>
          </w:p>
        </w:tc>
        <w:tc>
          <w:tcPr>
            <w:tcW w:w="3136" w:type="dxa"/>
            <w:vAlign w:val="bottom"/>
            <w:hideMark/>
          </w:tcPr>
          <w:p w14:paraId="665899AF" w14:textId="77777777" w:rsidR="009276B1" w:rsidRPr="009276B1" w:rsidRDefault="009276B1" w:rsidP="009276B1">
            <w:pPr>
              <w:spacing w:after="0" w:line="240" w:lineRule="auto"/>
              <w:jc w:val="right"/>
              <w:rPr>
                <w:rFonts w:ascii="Abadi Extra Light" w:eastAsia="Times New Roman" w:hAnsi="Abadi Extra Light" w:cs="Calibri"/>
                <w:sz w:val="24"/>
                <w:szCs w:val="24"/>
                <w:lang w:val="es-DO" w:eastAsia="es-DO"/>
              </w:rPr>
            </w:pPr>
            <w:r w:rsidRPr="009276B1">
              <w:rPr>
                <w:rFonts w:ascii="Abadi Extra Light" w:eastAsia="Times New Roman" w:hAnsi="Abadi Extra Light" w:cs="Calibri"/>
                <w:sz w:val="24"/>
                <w:szCs w:val="24"/>
                <w:lang w:val="es-DO" w:eastAsia="es-DO"/>
              </w:rPr>
              <w:t xml:space="preserve">                     59,000.00 </w:t>
            </w:r>
          </w:p>
        </w:tc>
      </w:tr>
      <w:tr w:rsidR="009276B1" w:rsidRPr="009276B1" w14:paraId="121A8294" w14:textId="77777777" w:rsidTr="009276B1">
        <w:trPr>
          <w:trHeight w:val="448"/>
        </w:trPr>
        <w:tc>
          <w:tcPr>
            <w:tcW w:w="4001" w:type="dxa"/>
            <w:noWrap/>
            <w:vAlign w:val="bottom"/>
            <w:hideMark/>
          </w:tcPr>
          <w:p w14:paraId="3406F541" w14:textId="77777777" w:rsidR="009276B1" w:rsidRPr="009276B1" w:rsidRDefault="009276B1" w:rsidP="009276B1">
            <w:pPr>
              <w:spacing w:after="0" w:line="240" w:lineRule="auto"/>
              <w:jc w:val="center"/>
              <w:rPr>
                <w:rFonts w:ascii="Abadi Extra Light" w:eastAsia="Times New Roman" w:hAnsi="Abadi Extra Light" w:cs="Calibri"/>
                <w:b/>
                <w:bCs/>
                <w:sz w:val="24"/>
                <w:szCs w:val="24"/>
                <w:lang w:val="es-DO" w:eastAsia="es-DO"/>
              </w:rPr>
            </w:pPr>
          </w:p>
        </w:tc>
        <w:tc>
          <w:tcPr>
            <w:tcW w:w="3136" w:type="dxa"/>
            <w:noWrap/>
            <w:vAlign w:val="bottom"/>
            <w:hideMark/>
          </w:tcPr>
          <w:p w14:paraId="09FB8B45" w14:textId="77777777" w:rsidR="009276B1" w:rsidRPr="009276B1" w:rsidRDefault="009276B1" w:rsidP="009276B1">
            <w:pPr>
              <w:spacing w:after="0" w:line="240" w:lineRule="auto"/>
              <w:jc w:val="right"/>
              <w:rPr>
                <w:rFonts w:ascii="Calibri" w:eastAsia="Times New Roman" w:hAnsi="Calibri" w:cs="Calibri"/>
                <w:b/>
                <w:bCs/>
                <w:color w:val="000000"/>
                <w:lang w:val="es-DO" w:eastAsia="es-DO"/>
              </w:rPr>
            </w:pPr>
            <w:r w:rsidRPr="009276B1">
              <w:rPr>
                <w:rFonts w:ascii="Calibri" w:eastAsia="Times New Roman" w:hAnsi="Calibri" w:cs="Calibri"/>
                <w:b/>
                <w:bCs/>
                <w:color w:val="000000"/>
                <w:lang w:val="es-DO" w:eastAsia="es-DO"/>
              </w:rPr>
              <w:t xml:space="preserve">                                    2,235,707.24 </w:t>
            </w:r>
          </w:p>
        </w:tc>
      </w:tr>
    </w:tbl>
    <w:p w14:paraId="3AFE1C2E" w14:textId="4147E84E" w:rsidR="00A45A6C" w:rsidRDefault="00741702" w:rsidP="00206674">
      <w:pPr>
        <w:spacing w:line="240" w:lineRule="auto"/>
        <w:contextualSpacing/>
        <w:rPr>
          <w:rFonts w:ascii="Abadi" w:hAnsi="Abadi" w:cstheme="minorHAnsi"/>
          <w:bCs/>
          <w:sz w:val="20"/>
          <w:szCs w:val="20"/>
          <w:lang w:val="es-ES_tradnl"/>
        </w:rPr>
      </w:pPr>
      <w:r>
        <w:rPr>
          <w:rFonts w:ascii="Abadi" w:hAnsi="Abadi" w:cstheme="minorHAnsi"/>
          <w:bCs/>
          <w:sz w:val="20"/>
          <w:szCs w:val="20"/>
          <w:lang w:val="es-ES_tradnl"/>
        </w:rPr>
        <w:fldChar w:fldCharType="end"/>
      </w:r>
    </w:p>
    <w:p w14:paraId="30C5E87B" w14:textId="77777777" w:rsidR="00A45A6C" w:rsidRDefault="00A45A6C" w:rsidP="00206674">
      <w:pPr>
        <w:spacing w:line="240" w:lineRule="auto"/>
        <w:contextualSpacing/>
        <w:rPr>
          <w:rFonts w:ascii="Abadi" w:hAnsi="Abadi" w:cstheme="minorHAnsi"/>
          <w:bCs/>
          <w:sz w:val="20"/>
          <w:szCs w:val="20"/>
          <w:lang w:val="es-ES_tradnl"/>
        </w:rPr>
      </w:pPr>
    </w:p>
    <w:tbl>
      <w:tblP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6"/>
        <w:gridCol w:w="3130"/>
      </w:tblGrid>
      <w:tr w:rsidR="00AD47E3" w:rsidRPr="00AD47E3" w14:paraId="36F159F8" w14:textId="77777777" w:rsidTr="00033415">
        <w:trPr>
          <w:trHeight w:val="464"/>
        </w:trPr>
        <w:tc>
          <w:tcPr>
            <w:tcW w:w="4006" w:type="dxa"/>
            <w:vMerge w:val="restart"/>
            <w:vAlign w:val="center"/>
            <w:hideMark/>
          </w:tcPr>
          <w:p w14:paraId="6A90A3BF" w14:textId="67582BA6" w:rsidR="00AD47E3" w:rsidRPr="00AD47E3" w:rsidRDefault="00AD47E3" w:rsidP="00AD47E3">
            <w:pPr>
              <w:spacing w:after="0" w:line="240" w:lineRule="auto"/>
              <w:jc w:val="both"/>
              <w:rPr>
                <w:rFonts w:ascii="Abadi" w:eastAsia="Times New Roman" w:hAnsi="Abadi" w:cs="Calibri"/>
                <w:b/>
                <w:bCs/>
                <w:color w:val="000000"/>
                <w:sz w:val="19"/>
                <w:szCs w:val="19"/>
                <w:lang w:val="es-DO" w:eastAsia="es-DO"/>
              </w:rPr>
            </w:pPr>
            <w:r w:rsidRPr="00AD47E3">
              <w:rPr>
                <w:rFonts w:ascii="Abadi" w:eastAsia="Times New Roman" w:hAnsi="Abadi" w:cs="Calibri"/>
                <w:b/>
                <w:bCs/>
                <w:color w:val="000000"/>
                <w:sz w:val="19"/>
                <w:szCs w:val="19"/>
                <w:lang w:val="es-DO" w:eastAsia="es-DO"/>
              </w:rPr>
              <w:t xml:space="preserve">Otros Proveedores Directos Pagar Corto Plazo </w:t>
            </w:r>
          </w:p>
        </w:tc>
        <w:tc>
          <w:tcPr>
            <w:tcW w:w="3130" w:type="dxa"/>
            <w:shd w:val="clear" w:color="auto" w:fill="0070C0"/>
            <w:vAlign w:val="center"/>
            <w:hideMark/>
          </w:tcPr>
          <w:p w14:paraId="49E6D11E" w14:textId="77777777" w:rsidR="00AD47E3" w:rsidRPr="00AD47E3" w:rsidRDefault="00AD47E3" w:rsidP="00AD47E3">
            <w:pPr>
              <w:spacing w:after="0" w:line="240" w:lineRule="auto"/>
              <w:jc w:val="center"/>
              <w:rPr>
                <w:rFonts w:ascii="Abadi Extra Light" w:eastAsia="Times New Roman" w:hAnsi="Abadi Extra Light" w:cs="Calibri"/>
                <w:b/>
                <w:bCs/>
                <w:color w:val="FFFFFF" w:themeColor="background1"/>
                <w:sz w:val="24"/>
                <w:szCs w:val="24"/>
                <w:lang w:val="es-DO" w:eastAsia="es-DO"/>
              </w:rPr>
            </w:pPr>
            <w:r w:rsidRPr="00AD47E3">
              <w:rPr>
                <w:rFonts w:ascii="Abadi Extra Light" w:eastAsia="Times New Roman" w:hAnsi="Abadi Extra Light" w:cs="Calibri"/>
                <w:b/>
                <w:bCs/>
                <w:color w:val="FFFFFF" w:themeColor="background1"/>
                <w:sz w:val="24"/>
                <w:szCs w:val="24"/>
                <w:lang w:val="es-DO" w:eastAsia="es-DO"/>
              </w:rPr>
              <w:t>Monto Pendiente RD$</w:t>
            </w:r>
          </w:p>
        </w:tc>
      </w:tr>
      <w:tr w:rsidR="00AD47E3" w:rsidRPr="00AD47E3" w14:paraId="38A2D70A" w14:textId="77777777" w:rsidTr="00033415">
        <w:trPr>
          <w:trHeight w:val="464"/>
        </w:trPr>
        <w:tc>
          <w:tcPr>
            <w:tcW w:w="4006" w:type="dxa"/>
            <w:vMerge/>
            <w:vAlign w:val="center"/>
            <w:hideMark/>
          </w:tcPr>
          <w:p w14:paraId="6415526A" w14:textId="77777777" w:rsidR="00AD47E3" w:rsidRPr="00AD47E3" w:rsidRDefault="00AD47E3" w:rsidP="00AD47E3">
            <w:pPr>
              <w:spacing w:after="0" w:line="240" w:lineRule="auto"/>
              <w:rPr>
                <w:rFonts w:ascii="Abadi" w:eastAsia="Times New Roman" w:hAnsi="Abadi" w:cs="Calibri"/>
                <w:color w:val="000000"/>
                <w:sz w:val="19"/>
                <w:szCs w:val="19"/>
                <w:lang w:val="es-DO" w:eastAsia="es-DO"/>
              </w:rPr>
            </w:pPr>
          </w:p>
        </w:tc>
        <w:tc>
          <w:tcPr>
            <w:tcW w:w="3130" w:type="dxa"/>
            <w:vAlign w:val="bottom"/>
            <w:hideMark/>
          </w:tcPr>
          <w:p w14:paraId="210785C0" w14:textId="77777777" w:rsidR="00AD47E3" w:rsidRPr="00AD47E3" w:rsidRDefault="00AD47E3" w:rsidP="00AD47E3">
            <w:pPr>
              <w:spacing w:after="0" w:line="240" w:lineRule="auto"/>
              <w:jc w:val="center"/>
              <w:rPr>
                <w:rFonts w:ascii="Abadi Extra Light" w:eastAsia="Times New Roman" w:hAnsi="Abadi Extra Light" w:cs="Calibri"/>
                <w:b/>
                <w:bCs/>
                <w:sz w:val="24"/>
                <w:szCs w:val="24"/>
                <w:lang w:val="es-DO" w:eastAsia="es-DO"/>
              </w:rPr>
            </w:pPr>
            <w:r w:rsidRPr="00AD47E3">
              <w:rPr>
                <w:rFonts w:ascii="Abadi Extra Light" w:eastAsia="Times New Roman" w:hAnsi="Abadi Extra Light" w:cs="Calibri"/>
                <w:b/>
                <w:bCs/>
                <w:sz w:val="24"/>
                <w:szCs w:val="24"/>
                <w:lang w:val="es-DO" w:eastAsia="es-DO"/>
              </w:rPr>
              <w:t> </w:t>
            </w:r>
          </w:p>
        </w:tc>
      </w:tr>
      <w:tr w:rsidR="00AD47E3" w:rsidRPr="00AD47E3" w14:paraId="39201168" w14:textId="77777777" w:rsidTr="00033415">
        <w:trPr>
          <w:trHeight w:val="464"/>
        </w:trPr>
        <w:tc>
          <w:tcPr>
            <w:tcW w:w="4006" w:type="dxa"/>
            <w:noWrap/>
            <w:vAlign w:val="bottom"/>
            <w:hideMark/>
          </w:tcPr>
          <w:p w14:paraId="5A206EA0" w14:textId="64F71854" w:rsidR="00AD47E3" w:rsidRPr="00AD47E3" w:rsidRDefault="00AD47E3" w:rsidP="00AD47E3">
            <w:pPr>
              <w:spacing w:after="0" w:line="240" w:lineRule="auto"/>
              <w:jc w:val="right"/>
              <w:rPr>
                <w:rFonts w:ascii="Calibri" w:eastAsia="Times New Roman" w:hAnsi="Calibri" w:cs="Calibri"/>
                <w:color w:val="000000"/>
                <w:lang w:val="es-DO" w:eastAsia="es-DO"/>
              </w:rPr>
            </w:pPr>
            <w:r w:rsidRPr="00AD47E3">
              <w:rPr>
                <w:rFonts w:ascii="Calibri" w:eastAsia="Times New Roman" w:hAnsi="Calibri" w:cs="Calibri"/>
                <w:color w:val="000000"/>
                <w:lang w:val="es-DO" w:eastAsia="es-DO"/>
              </w:rPr>
              <w:t>Compañía Armenteros de Construcciones Civiles, SRL</w:t>
            </w:r>
          </w:p>
        </w:tc>
        <w:tc>
          <w:tcPr>
            <w:tcW w:w="3130" w:type="dxa"/>
            <w:noWrap/>
            <w:vAlign w:val="bottom"/>
            <w:hideMark/>
          </w:tcPr>
          <w:p w14:paraId="2940E1B8" w14:textId="77777777" w:rsidR="00AD47E3" w:rsidRPr="00AD47E3" w:rsidRDefault="00AD47E3" w:rsidP="00AD47E3">
            <w:pPr>
              <w:spacing w:after="0" w:line="240" w:lineRule="auto"/>
              <w:jc w:val="right"/>
              <w:rPr>
                <w:rFonts w:ascii="Calibri" w:eastAsia="Times New Roman" w:hAnsi="Calibri" w:cs="Calibri"/>
                <w:color w:val="000000"/>
                <w:lang w:val="es-DO" w:eastAsia="es-DO"/>
              </w:rPr>
            </w:pPr>
            <w:r w:rsidRPr="00AD47E3">
              <w:rPr>
                <w:rFonts w:ascii="Calibri" w:eastAsia="Times New Roman" w:hAnsi="Calibri" w:cs="Calibri"/>
                <w:color w:val="000000"/>
                <w:lang w:val="es-DO" w:eastAsia="es-DO"/>
              </w:rPr>
              <w:t xml:space="preserve">3,239,124.37 </w:t>
            </w:r>
          </w:p>
        </w:tc>
      </w:tr>
      <w:tr w:rsidR="00AD47E3" w:rsidRPr="00AD47E3" w14:paraId="77064252" w14:textId="77777777" w:rsidTr="00033415">
        <w:trPr>
          <w:trHeight w:val="464"/>
        </w:trPr>
        <w:tc>
          <w:tcPr>
            <w:tcW w:w="4006" w:type="dxa"/>
            <w:noWrap/>
            <w:vAlign w:val="bottom"/>
            <w:hideMark/>
          </w:tcPr>
          <w:p w14:paraId="1E489A26" w14:textId="77777777" w:rsidR="00AD47E3" w:rsidRPr="00AD47E3" w:rsidRDefault="00AD47E3" w:rsidP="00AD47E3">
            <w:pPr>
              <w:spacing w:after="0" w:line="240" w:lineRule="auto"/>
              <w:jc w:val="right"/>
              <w:rPr>
                <w:rFonts w:ascii="Calibri" w:eastAsia="Times New Roman" w:hAnsi="Calibri" w:cs="Calibri"/>
                <w:color w:val="000000"/>
                <w:lang w:eastAsia="es-DO"/>
              </w:rPr>
            </w:pPr>
            <w:r w:rsidRPr="00AD47E3">
              <w:rPr>
                <w:rFonts w:ascii="Calibri" w:eastAsia="Times New Roman" w:hAnsi="Calibri" w:cs="Calibri"/>
                <w:color w:val="000000"/>
                <w:lang w:eastAsia="es-DO"/>
              </w:rPr>
              <w:t>Magri Designs &amp; Architectural Plans, SRL</w:t>
            </w:r>
          </w:p>
        </w:tc>
        <w:tc>
          <w:tcPr>
            <w:tcW w:w="3130" w:type="dxa"/>
            <w:noWrap/>
            <w:vAlign w:val="bottom"/>
            <w:hideMark/>
          </w:tcPr>
          <w:p w14:paraId="624E75B3" w14:textId="77777777" w:rsidR="00AD47E3" w:rsidRPr="00AD47E3" w:rsidRDefault="00AD47E3" w:rsidP="00AD47E3">
            <w:pPr>
              <w:spacing w:after="0" w:line="240" w:lineRule="auto"/>
              <w:jc w:val="right"/>
              <w:rPr>
                <w:rFonts w:ascii="Calibri" w:eastAsia="Times New Roman" w:hAnsi="Calibri" w:cs="Calibri"/>
                <w:color w:val="000000"/>
                <w:lang w:val="es-DO" w:eastAsia="es-DO"/>
              </w:rPr>
            </w:pPr>
            <w:r w:rsidRPr="00AD47E3">
              <w:rPr>
                <w:rFonts w:ascii="Calibri" w:eastAsia="Times New Roman" w:hAnsi="Calibri" w:cs="Calibri"/>
                <w:color w:val="000000"/>
                <w:lang w:val="es-DO" w:eastAsia="es-DO"/>
              </w:rPr>
              <w:t xml:space="preserve">221,108.91 </w:t>
            </w:r>
          </w:p>
        </w:tc>
      </w:tr>
      <w:tr w:rsidR="00AD47E3" w:rsidRPr="00AD47E3" w14:paraId="377FF82A" w14:textId="77777777" w:rsidTr="00033415">
        <w:trPr>
          <w:trHeight w:val="464"/>
        </w:trPr>
        <w:tc>
          <w:tcPr>
            <w:tcW w:w="4006" w:type="dxa"/>
            <w:noWrap/>
            <w:vAlign w:val="bottom"/>
            <w:hideMark/>
          </w:tcPr>
          <w:p w14:paraId="462B2C04" w14:textId="2953B88E" w:rsidR="00AD47E3" w:rsidRPr="00AD47E3" w:rsidRDefault="00366742" w:rsidP="00366742">
            <w:pPr>
              <w:spacing w:after="0" w:line="240" w:lineRule="auto"/>
              <w:jc w:val="center"/>
              <w:rPr>
                <w:rFonts w:ascii="Calibri" w:eastAsia="Times New Roman" w:hAnsi="Calibri" w:cs="Calibri"/>
                <w:b/>
                <w:bCs/>
                <w:color w:val="000000"/>
                <w:lang w:val="es-DO" w:eastAsia="es-DO"/>
              </w:rPr>
            </w:pPr>
            <w:r w:rsidRPr="00366742">
              <w:rPr>
                <w:rFonts w:ascii="Calibri" w:eastAsia="Times New Roman" w:hAnsi="Calibri" w:cs="Calibri"/>
                <w:b/>
                <w:bCs/>
                <w:color w:val="000000"/>
                <w:lang w:val="es-DO" w:eastAsia="es-DO"/>
              </w:rPr>
              <w:t>Total</w:t>
            </w:r>
          </w:p>
        </w:tc>
        <w:tc>
          <w:tcPr>
            <w:tcW w:w="3130" w:type="dxa"/>
            <w:noWrap/>
            <w:vAlign w:val="bottom"/>
            <w:hideMark/>
          </w:tcPr>
          <w:p w14:paraId="01446269" w14:textId="77777777" w:rsidR="00AD47E3" w:rsidRPr="00AD47E3" w:rsidRDefault="00AD47E3" w:rsidP="00AD47E3">
            <w:pPr>
              <w:spacing w:after="0" w:line="240" w:lineRule="auto"/>
              <w:jc w:val="right"/>
              <w:rPr>
                <w:rFonts w:ascii="Calibri" w:eastAsia="Times New Roman" w:hAnsi="Calibri" w:cs="Calibri"/>
                <w:b/>
                <w:bCs/>
                <w:color w:val="000000"/>
                <w:lang w:val="es-DO" w:eastAsia="es-DO"/>
              </w:rPr>
            </w:pPr>
            <w:r w:rsidRPr="00AD47E3">
              <w:rPr>
                <w:rFonts w:ascii="Calibri" w:eastAsia="Times New Roman" w:hAnsi="Calibri" w:cs="Calibri"/>
                <w:b/>
                <w:bCs/>
                <w:color w:val="000000"/>
                <w:lang w:val="es-DO" w:eastAsia="es-DO"/>
              </w:rPr>
              <w:t xml:space="preserve">3,460,233.28 </w:t>
            </w:r>
          </w:p>
        </w:tc>
      </w:tr>
    </w:tbl>
    <w:p w14:paraId="17FC0BD3" w14:textId="3E4D4678" w:rsidR="00A45A6C" w:rsidRDefault="00A45A6C" w:rsidP="00206674">
      <w:pPr>
        <w:spacing w:line="240" w:lineRule="auto"/>
        <w:contextualSpacing/>
        <w:rPr>
          <w:rFonts w:ascii="Abadi" w:hAnsi="Abadi" w:cstheme="minorHAnsi"/>
          <w:bCs/>
          <w:sz w:val="20"/>
          <w:szCs w:val="20"/>
          <w:lang w:val="es-ES_tradnl"/>
        </w:rPr>
      </w:pPr>
    </w:p>
    <w:p w14:paraId="7FD2F8D0" w14:textId="77777777" w:rsidR="00A45A6C" w:rsidRPr="00C80F8E" w:rsidRDefault="00A45A6C" w:rsidP="00206674">
      <w:pPr>
        <w:spacing w:line="240" w:lineRule="auto"/>
        <w:contextualSpacing/>
        <w:rPr>
          <w:rFonts w:ascii="Abadi" w:hAnsi="Abadi" w:cstheme="minorHAnsi"/>
          <w:bCs/>
          <w:sz w:val="20"/>
          <w:szCs w:val="20"/>
          <w:lang w:val="es-ES_tradnl"/>
        </w:rPr>
      </w:pPr>
    </w:p>
    <w:p w14:paraId="320E750C" w14:textId="77777777" w:rsidR="00E25178" w:rsidRPr="00C80F8E" w:rsidRDefault="00E25178" w:rsidP="00A7606E">
      <w:pPr>
        <w:pStyle w:val="Prrafodelista"/>
        <w:numPr>
          <w:ilvl w:val="0"/>
          <w:numId w:val="1"/>
        </w:numPr>
        <w:spacing w:line="240" w:lineRule="auto"/>
        <w:ind w:left="283" w:hanging="357"/>
        <w:rPr>
          <w:rFonts w:ascii="Abadi" w:hAnsi="Abadi" w:cstheme="minorHAnsi"/>
          <w:b/>
          <w:sz w:val="20"/>
          <w:szCs w:val="20"/>
          <w:lang w:val="es-ES_tradnl"/>
        </w:rPr>
      </w:pPr>
      <w:r w:rsidRPr="00C80F8E">
        <w:rPr>
          <w:rFonts w:ascii="Abadi" w:hAnsi="Abadi" w:cstheme="minorHAnsi"/>
          <w:b/>
          <w:sz w:val="20"/>
          <w:szCs w:val="20"/>
          <w:lang w:val="es-ES_tradnl"/>
        </w:rPr>
        <w:t>Retenciones y acumulaciones por pagar</w:t>
      </w:r>
    </w:p>
    <w:p w14:paraId="6FAD26F9" w14:textId="06FB2DA6" w:rsidR="00E25178" w:rsidRPr="00C80F8E" w:rsidRDefault="00E74B9D" w:rsidP="00E9031F">
      <w:pPr>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total de retenciones y acumulaciones por pagar ascendió a RD$3,751,671.27, en comparación con RD$3,931,704.43 registrados al 30 de junio de 2024. Esta diferencia representa una disminución absoluta de RD$180,033.16 y una variación relativa negativa de 4.58%, reflejando una menor carga de obligaciones fiscales retenidas al cierre del primer semestre del ejercicio 2025.</w:t>
      </w:r>
      <w:r w:rsidR="00E25178" w:rsidRPr="00C80F8E">
        <w:rPr>
          <w:rFonts w:ascii="Abadi" w:hAnsi="Abadi" w:cstheme="minorHAnsi"/>
          <w:bCs/>
          <w:sz w:val="20"/>
          <w:szCs w:val="20"/>
          <w:lang w:val="es-ES_tradnl"/>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E25178" w:rsidRPr="00C80F8E" w14:paraId="19BAB81F" w14:textId="77777777" w:rsidTr="006C2D82">
        <w:tc>
          <w:tcPr>
            <w:tcW w:w="4891" w:type="dxa"/>
            <w:shd w:val="clear" w:color="auto" w:fill="0070C0"/>
          </w:tcPr>
          <w:p w14:paraId="60BD0196" w14:textId="77777777" w:rsidR="00E25178" w:rsidRPr="00C80F8E" w:rsidRDefault="00E25178"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tcBorders>
              <w:bottom w:val="single" w:sz="4" w:space="0" w:color="auto"/>
            </w:tcBorders>
            <w:shd w:val="clear" w:color="auto" w:fill="0070C0"/>
          </w:tcPr>
          <w:p w14:paraId="4DF2BD52" w14:textId="31E38262" w:rsidR="00E25178"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B56F7" w:rsidRPr="00C80F8E">
              <w:rPr>
                <w:rFonts w:ascii="Abadi" w:hAnsi="Abadi" w:cstheme="minorHAnsi"/>
                <w:b/>
                <w:bCs/>
                <w:color w:val="FFFFFF" w:themeColor="background1"/>
                <w:sz w:val="20"/>
                <w:szCs w:val="20"/>
                <w:lang w:val="es-ES_tradnl"/>
              </w:rPr>
              <w:t>5</w:t>
            </w:r>
          </w:p>
        </w:tc>
        <w:tc>
          <w:tcPr>
            <w:tcW w:w="2125" w:type="dxa"/>
            <w:tcBorders>
              <w:bottom w:val="single" w:sz="4" w:space="0" w:color="auto"/>
            </w:tcBorders>
            <w:shd w:val="clear" w:color="auto" w:fill="0070C0"/>
          </w:tcPr>
          <w:p w14:paraId="7455C6DB" w14:textId="2A68DF3A" w:rsidR="00E25178"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B56F7" w:rsidRPr="00C80F8E">
              <w:rPr>
                <w:rFonts w:ascii="Abadi" w:hAnsi="Abadi" w:cstheme="minorHAnsi"/>
                <w:b/>
                <w:bCs/>
                <w:color w:val="FFFFFF" w:themeColor="background1"/>
                <w:sz w:val="20"/>
                <w:szCs w:val="20"/>
                <w:lang w:val="es-ES_tradnl"/>
              </w:rPr>
              <w:t>4</w:t>
            </w:r>
          </w:p>
        </w:tc>
      </w:tr>
      <w:tr w:rsidR="00AC0E45" w:rsidRPr="00C80F8E" w14:paraId="4608D276" w14:textId="77777777" w:rsidTr="00AC0E45">
        <w:tc>
          <w:tcPr>
            <w:tcW w:w="4891" w:type="dxa"/>
          </w:tcPr>
          <w:p w14:paraId="2B363AC8" w14:textId="43BBB42F" w:rsidR="00AC0E45" w:rsidRPr="00C80F8E" w:rsidRDefault="00AC0E45" w:rsidP="00AC0E45">
            <w:pPr>
              <w:jc w:val="both"/>
              <w:rPr>
                <w:rFonts w:ascii="Abadi" w:hAnsi="Abadi" w:cstheme="minorHAnsi"/>
                <w:sz w:val="20"/>
                <w:szCs w:val="20"/>
                <w:lang w:val="es-ES_tradnl"/>
              </w:rPr>
            </w:pPr>
            <w:r w:rsidRPr="00C80F8E">
              <w:rPr>
                <w:rFonts w:ascii="Abadi" w:hAnsi="Abadi" w:cstheme="minorHAnsi"/>
                <w:sz w:val="20"/>
                <w:szCs w:val="20"/>
                <w:lang w:val="es-ES_tradnl"/>
              </w:rPr>
              <w:t>Retención ITBIS</w:t>
            </w:r>
          </w:p>
        </w:tc>
        <w:tc>
          <w:tcPr>
            <w:tcW w:w="2268" w:type="dxa"/>
            <w:tcBorders>
              <w:top w:val="single" w:sz="4" w:space="0" w:color="auto"/>
              <w:left w:val="nil"/>
              <w:bottom w:val="single" w:sz="4" w:space="0" w:color="auto"/>
              <w:right w:val="nil"/>
            </w:tcBorders>
          </w:tcPr>
          <w:p w14:paraId="5A79C300" w14:textId="3B05176E" w:rsidR="007A551F" w:rsidRPr="00C80F8E" w:rsidRDefault="007A551F" w:rsidP="007A551F">
            <w:pPr>
              <w:jc w:val="right"/>
              <w:rPr>
                <w:rFonts w:ascii="Abadi" w:hAnsi="Abadi" w:cstheme="minorHAnsi"/>
                <w:sz w:val="20"/>
                <w:szCs w:val="20"/>
                <w:lang w:val="es-ES_tradnl"/>
              </w:rPr>
            </w:pPr>
            <w:r w:rsidRPr="00C80F8E">
              <w:rPr>
                <w:rFonts w:ascii="Abadi" w:hAnsi="Abadi" w:cstheme="minorHAnsi"/>
                <w:sz w:val="20"/>
                <w:szCs w:val="20"/>
                <w:lang w:val="es-ES_tradnl"/>
              </w:rPr>
              <w:t>35,983.80</w:t>
            </w:r>
          </w:p>
        </w:tc>
        <w:tc>
          <w:tcPr>
            <w:tcW w:w="2125" w:type="dxa"/>
            <w:tcBorders>
              <w:top w:val="single" w:sz="4" w:space="0" w:color="auto"/>
              <w:bottom w:val="single" w:sz="4" w:space="0" w:color="auto"/>
            </w:tcBorders>
          </w:tcPr>
          <w:p w14:paraId="0C3AC79F" w14:textId="7A77856C" w:rsidR="00AC0E45" w:rsidRPr="00C80F8E" w:rsidRDefault="00E41B5C" w:rsidP="00AC0E45">
            <w:pPr>
              <w:jc w:val="right"/>
              <w:rPr>
                <w:rFonts w:ascii="Abadi" w:hAnsi="Abadi" w:cstheme="minorHAnsi"/>
                <w:sz w:val="20"/>
                <w:szCs w:val="20"/>
                <w:lang w:val="es-ES_tradnl"/>
              </w:rPr>
            </w:pPr>
            <w:r w:rsidRPr="00C80F8E">
              <w:rPr>
                <w:rFonts w:ascii="Abadi" w:hAnsi="Abadi" w:cstheme="minorHAnsi"/>
                <w:sz w:val="20"/>
                <w:szCs w:val="20"/>
                <w:lang w:val="es-ES_tradnl"/>
              </w:rPr>
              <w:t>106</w:t>
            </w:r>
            <w:r w:rsidR="00474176" w:rsidRPr="00C80F8E">
              <w:rPr>
                <w:rFonts w:ascii="Abadi" w:hAnsi="Abadi" w:cstheme="minorHAnsi"/>
                <w:sz w:val="20"/>
                <w:szCs w:val="20"/>
                <w:lang w:val="es-ES_tradnl"/>
              </w:rPr>
              <w:t>,487.80</w:t>
            </w:r>
          </w:p>
        </w:tc>
      </w:tr>
      <w:tr w:rsidR="00AC0E45" w:rsidRPr="00C80F8E" w14:paraId="752032BC" w14:textId="77777777" w:rsidTr="00AC0E45">
        <w:tc>
          <w:tcPr>
            <w:tcW w:w="4891" w:type="dxa"/>
          </w:tcPr>
          <w:p w14:paraId="04076D13" w14:textId="5DF5CB61" w:rsidR="00AC0E45" w:rsidRPr="00C80F8E" w:rsidRDefault="00C650B5" w:rsidP="00AC0E45">
            <w:pPr>
              <w:jc w:val="both"/>
              <w:rPr>
                <w:rFonts w:ascii="Abadi" w:hAnsi="Abadi" w:cstheme="minorHAnsi"/>
                <w:sz w:val="20"/>
                <w:szCs w:val="20"/>
                <w:lang w:val="es-ES_tradnl"/>
              </w:rPr>
            </w:pPr>
            <w:r w:rsidRPr="00C80F8E">
              <w:rPr>
                <w:rFonts w:ascii="Abadi" w:hAnsi="Abadi" w:cstheme="minorHAnsi"/>
                <w:sz w:val="20"/>
                <w:szCs w:val="20"/>
                <w:lang w:val="es-ES_tradnl"/>
              </w:rPr>
              <w:t>Retención</w:t>
            </w:r>
            <w:r w:rsidR="00AC0E45" w:rsidRPr="00C80F8E">
              <w:rPr>
                <w:rFonts w:ascii="Abadi" w:hAnsi="Abadi" w:cstheme="minorHAnsi"/>
                <w:sz w:val="20"/>
                <w:szCs w:val="20"/>
                <w:lang w:val="es-ES_tradnl"/>
              </w:rPr>
              <w:t xml:space="preserve"> 10% por Honorarios</w:t>
            </w:r>
          </w:p>
        </w:tc>
        <w:tc>
          <w:tcPr>
            <w:tcW w:w="2268" w:type="dxa"/>
            <w:tcBorders>
              <w:top w:val="single" w:sz="4" w:space="0" w:color="auto"/>
              <w:left w:val="nil"/>
              <w:bottom w:val="single" w:sz="4" w:space="0" w:color="auto"/>
              <w:right w:val="nil"/>
            </w:tcBorders>
          </w:tcPr>
          <w:p w14:paraId="2BF026F4" w14:textId="20B66BE4" w:rsidR="00AC0E45" w:rsidRPr="00C80F8E" w:rsidRDefault="00745983" w:rsidP="00AC0E45">
            <w:pPr>
              <w:jc w:val="right"/>
              <w:rPr>
                <w:rFonts w:ascii="Abadi" w:hAnsi="Abadi" w:cstheme="minorHAnsi"/>
                <w:sz w:val="20"/>
                <w:szCs w:val="20"/>
                <w:lang w:val="es-ES_tradnl"/>
              </w:rPr>
            </w:pPr>
            <w:r w:rsidRPr="00C80F8E">
              <w:rPr>
                <w:rFonts w:ascii="Abadi" w:hAnsi="Abadi" w:cstheme="minorHAnsi"/>
                <w:sz w:val="20"/>
                <w:szCs w:val="20"/>
                <w:lang w:val="es-ES_tradnl"/>
              </w:rPr>
              <w:t>73,582.62</w:t>
            </w:r>
          </w:p>
        </w:tc>
        <w:tc>
          <w:tcPr>
            <w:tcW w:w="2125" w:type="dxa"/>
            <w:tcBorders>
              <w:top w:val="single" w:sz="4" w:space="0" w:color="auto"/>
              <w:bottom w:val="single" w:sz="4" w:space="0" w:color="auto"/>
            </w:tcBorders>
          </w:tcPr>
          <w:p w14:paraId="37132932" w14:textId="54ED2C20" w:rsidR="00AC0E45" w:rsidRPr="00C80F8E" w:rsidRDefault="00474176" w:rsidP="00AC0E45">
            <w:pPr>
              <w:jc w:val="right"/>
              <w:rPr>
                <w:rFonts w:ascii="Abadi" w:hAnsi="Abadi" w:cstheme="minorHAnsi"/>
                <w:sz w:val="20"/>
                <w:szCs w:val="20"/>
                <w:lang w:val="es-ES_tradnl"/>
              </w:rPr>
            </w:pPr>
            <w:r w:rsidRPr="00C80F8E">
              <w:rPr>
                <w:rFonts w:ascii="Abadi" w:hAnsi="Abadi" w:cstheme="minorHAnsi"/>
                <w:sz w:val="20"/>
                <w:szCs w:val="20"/>
                <w:lang w:val="es-ES_tradnl"/>
              </w:rPr>
              <w:t>44,722.61</w:t>
            </w:r>
          </w:p>
        </w:tc>
      </w:tr>
      <w:tr w:rsidR="00AC0E45" w:rsidRPr="00C80F8E" w14:paraId="4B6A34D9" w14:textId="77777777" w:rsidTr="00AC0E45">
        <w:tc>
          <w:tcPr>
            <w:tcW w:w="4891" w:type="dxa"/>
          </w:tcPr>
          <w:p w14:paraId="6495FCFE" w14:textId="71ACF164" w:rsidR="00AC0E45" w:rsidRPr="00C80F8E" w:rsidRDefault="00AC0E45" w:rsidP="00AC0E45">
            <w:pPr>
              <w:jc w:val="both"/>
              <w:rPr>
                <w:rFonts w:ascii="Abadi" w:hAnsi="Abadi" w:cstheme="minorHAnsi"/>
                <w:sz w:val="20"/>
                <w:szCs w:val="20"/>
                <w:lang w:val="es-ES_tradnl"/>
              </w:rPr>
            </w:pPr>
            <w:r w:rsidRPr="00C80F8E">
              <w:rPr>
                <w:rFonts w:ascii="Abadi" w:hAnsi="Abadi" w:cstheme="minorHAnsi"/>
                <w:sz w:val="20"/>
                <w:szCs w:val="20"/>
                <w:lang w:val="es-ES_tradnl"/>
              </w:rPr>
              <w:t>Retención 5% Adquisición de Bienes y Servicios</w:t>
            </w:r>
          </w:p>
        </w:tc>
        <w:tc>
          <w:tcPr>
            <w:tcW w:w="2268" w:type="dxa"/>
            <w:tcBorders>
              <w:top w:val="single" w:sz="4" w:space="0" w:color="auto"/>
              <w:left w:val="nil"/>
              <w:bottom w:val="single" w:sz="4" w:space="0" w:color="auto"/>
              <w:right w:val="nil"/>
            </w:tcBorders>
          </w:tcPr>
          <w:p w14:paraId="69179AFA" w14:textId="4EE9A431" w:rsidR="00AC0E45" w:rsidRPr="00C80F8E" w:rsidRDefault="00745983" w:rsidP="00AC0E45">
            <w:pPr>
              <w:jc w:val="right"/>
              <w:rPr>
                <w:rFonts w:ascii="Abadi" w:hAnsi="Abadi" w:cstheme="minorHAnsi"/>
                <w:sz w:val="20"/>
                <w:szCs w:val="20"/>
                <w:lang w:val="es-ES_tradnl"/>
              </w:rPr>
            </w:pPr>
            <w:r w:rsidRPr="00C80F8E">
              <w:rPr>
                <w:rFonts w:ascii="Abadi" w:hAnsi="Abadi" w:cstheme="minorHAnsi"/>
                <w:sz w:val="20"/>
                <w:szCs w:val="20"/>
                <w:lang w:val="es-ES_tradnl"/>
              </w:rPr>
              <w:t>435,750.19</w:t>
            </w:r>
          </w:p>
        </w:tc>
        <w:tc>
          <w:tcPr>
            <w:tcW w:w="2125" w:type="dxa"/>
            <w:tcBorders>
              <w:top w:val="single" w:sz="4" w:space="0" w:color="auto"/>
              <w:bottom w:val="single" w:sz="4" w:space="0" w:color="auto"/>
            </w:tcBorders>
          </w:tcPr>
          <w:p w14:paraId="49A14894" w14:textId="05047886" w:rsidR="00AC0E45" w:rsidRPr="00C80F8E" w:rsidRDefault="00474176" w:rsidP="00AC0E45">
            <w:pPr>
              <w:jc w:val="right"/>
              <w:rPr>
                <w:rFonts w:ascii="Abadi" w:hAnsi="Abadi" w:cstheme="minorHAnsi"/>
                <w:sz w:val="20"/>
                <w:szCs w:val="20"/>
                <w:lang w:val="es-ES_tradnl"/>
              </w:rPr>
            </w:pPr>
            <w:r w:rsidRPr="00C80F8E">
              <w:rPr>
                <w:rFonts w:ascii="Abadi" w:hAnsi="Abadi" w:cstheme="minorHAnsi"/>
                <w:sz w:val="20"/>
                <w:szCs w:val="20"/>
                <w:lang w:val="es-ES_tradnl"/>
              </w:rPr>
              <w:t>324</w:t>
            </w:r>
            <w:r w:rsidR="00A44B75" w:rsidRPr="00C80F8E">
              <w:rPr>
                <w:rFonts w:ascii="Abadi" w:hAnsi="Abadi" w:cstheme="minorHAnsi"/>
                <w:sz w:val="20"/>
                <w:szCs w:val="20"/>
                <w:lang w:val="es-ES_tradnl"/>
              </w:rPr>
              <w:t>,</w:t>
            </w:r>
            <w:r w:rsidRPr="00C80F8E">
              <w:rPr>
                <w:rFonts w:ascii="Abadi" w:hAnsi="Abadi" w:cstheme="minorHAnsi"/>
                <w:sz w:val="20"/>
                <w:szCs w:val="20"/>
                <w:lang w:val="es-ES_tradnl"/>
              </w:rPr>
              <w:t>430</w:t>
            </w:r>
            <w:r w:rsidR="00350F3D" w:rsidRPr="00C80F8E">
              <w:rPr>
                <w:rFonts w:ascii="Abadi" w:hAnsi="Abadi" w:cstheme="minorHAnsi"/>
                <w:sz w:val="20"/>
                <w:szCs w:val="20"/>
                <w:lang w:val="es-ES_tradnl"/>
              </w:rPr>
              <w:t>.72</w:t>
            </w:r>
          </w:p>
        </w:tc>
      </w:tr>
      <w:tr w:rsidR="00AC0E45" w:rsidRPr="00C80F8E" w14:paraId="1E6FFA37" w14:textId="77777777" w:rsidTr="00AC0E45">
        <w:tc>
          <w:tcPr>
            <w:tcW w:w="4891" w:type="dxa"/>
          </w:tcPr>
          <w:p w14:paraId="15135C90" w14:textId="4C079BC9" w:rsidR="00AC0E45" w:rsidRPr="00C80F8E" w:rsidRDefault="00AC0E45" w:rsidP="00AC0E45">
            <w:pPr>
              <w:jc w:val="both"/>
              <w:rPr>
                <w:rFonts w:ascii="Abadi" w:hAnsi="Abadi" w:cstheme="minorHAnsi"/>
                <w:sz w:val="20"/>
                <w:szCs w:val="20"/>
                <w:lang w:val="es-ES_tradnl"/>
              </w:rPr>
            </w:pPr>
            <w:r w:rsidRPr="00C80F8E">
              <w:rPr>
                <w:rFonts w:ascii="Abadi" w:hAnsi="Abadi" w:cstheme="minorHAnsi"/>
                <w:sz w:val="20"/>
                <w:szCs w:val="20"/>
                <w:lang w:val="es-ES_tradnl"/>
              </w:rPr>
              <w:t>Impuesto sobre la Renta</w:t>
            </w:r>
          </w:p>
        </w:tc>
        <w:tc>
          <w:tcPr>
            <w:tcW w:w="2268" w:type="dxa"/>
            <w:tcBorders>
              <w:top w:val="single" w:sz="4" w:space="0" w:color="auto"/>
              <w:left w:val="nil"/>
              <w:bottom w:val="single" w:sz="4" w:space="0" w:color="auto"/>
              <w:right w:val="nil"/>
            </w:tcBorders>
          </w:tcPr>
          <w:p w14:paraId="22D2B6B6" w14:textId="05854144" w:rsidR="00AC0E45" w:rsidRPr="00C80F8E" w:rsidRDefault="00317AAC" w:rsidP="00AC0E45">
            <w:pPr>
              <w:jc w:val="right"/>
              <w:rPr>
                <w:rFonts w:ascii="Abadi" w:hAnsi="Abadi" w:cstheme="minorHAnsi"/>
                <w:sz w:val="20"/>
                <w:szCs w:val="20"/>
                <w:lang w:val="es-ES_tradnl"/>
              </w:rPr>
            </w:pPr>
            <w:r w:rsidRPr="00C80F8E">
              <w:rPr>
                <w:rFonts w:ascii="Abadi" w:hAnsi="Abadi" w:cstheme="minorHAnsi"/>
                <w:sz w:val="20"/>
                <w:szCs w:val="20"/>
                <w:lang w:val="es-ES_tradnl"/>
              </w:rPr>
              <w:t>3,084,686.41</w:t>
            </w:r>
          </w:p>
        </w:tc>
        <w:tc>
          <w:tcPr>
            <w:tcW w:w="2125" w:type="dxa"/>
            <w:tcBorders>
              <w:top w:val="single" w:sz="4" w:space="0" w:color="auto"/>
              <w:bottom w:val="single" w:sz="4" w:space="0" w:color="auto"/>
            </w:tcBorders>
          </w:tcPr>
          <w:p w14:paraId="08B83904" w14:textId="6CD1B69A" w:rsidR="00AC0E45" w:rsidRPr="00C80F8E" w:rsidRDefault="00350F3D" w:rsidP="00AC0E45">
            <w:pPr>
              <w:jc w:val="right"/>
              <w:rPr>
                <w:rFonts w:ascii="Abadi" w:hAnsi="Abadi" w:cstheme="minorHAnsi"/>
                <w:sz w:val="20"/>
                <w:szCs w:val="20"/>
                <w:lang w:val="es-ES_tradnl"/>
              </w:rPr>
            </w:pPr>
            <w:r w:rsidRPr="00C80F8E">
              <w:rPr>
                <w:rFonts w:ascii="Abadi" w:hAnsi="Abadi" w:cstheme="minorHAnsi"/>
                <w:sz w:val="20"/>
                <w:szCs w:val="20"/>
                <w:lang w:val="es-ES_tradnl"/>
              </w:rPr>
              <w:t>3,321,261.28</w:t>
            </w:r>
          </w:p>
        </w:tc>
      </w:tr>
      <w:tr w:rsidR="00AC0E45" w:rsidRPr="00C80F8E" w14:paraId="41F9B6A1" w14:textId="77777777" w:rsidTr="00AC0E45">
        <w:tc>
          <w:tcPr>
            <w:tcW w:w="4891" w:type="dxa"/>
          </w:tcPr>
          <w:p w14:paraId="2E8FCC92" w14:textId="49404E8E" w:rsidR="00AC0E45" w:rsidRPr="00C80F8E" w:rsidRDefault="00AC0E45" w:rsidP="00AC0E45">
            <w:pPr>
              <w:jc w:val="both"/>
              <w:rPr>
                <w:rFonts w:ascii="Abadi" w:hAnsi="Abadi" w:cstheme="minorHAnsi"/>
                <w:sz w:val="20"/>
                <w:szCs w:val="20"/>
                <w:lang w:val="es-ES_tradnl"/>
              </w:rPr>
            </w:pPr>
            <w:r w:rsidRPr="00C80F8E">
              <w:rPr>
                <w:rFonts w:ascii="Abadi" w:hAnsi="Abadi" w:cstheme="minorHAnsi"/>
                <w:sz w:val="20"/>
                <w:szCs w:val="20"/>
                <w:lang w:val="es-ES_tradnl"/>
              </w:rPr>
              <w:t>Retención 30% del 100% ITBIS</w:t>
            </w:r>
          </w:p>
        </w:tc>
        <w:tc>
          <w:tcPr>
            <w:tcW w:w="2268" w:type="dxa"/>
            <w:tcBorders>
              <w:top w:val="single" w:sz="4" w:space="0" w:color="auto"/>
              <w:left w:val="nil"/>
              <w:bottom w:val="single" w:sz="4" w:space="0" w:color="auto"/>
              <w:right w:val="nil"/>
            </w:tcBorders>
          </w:tcPr>
          <w:p w14:paraId="5DA7DAEC" w14:textId="3582E9FF" w:rsidR="00AC0E45" w:rsidRPr="00C80F8E" w:rsidRDefault="005A40C3" w:rsidP="00AC0E45">
            <w:pPr>
              <w:jc w:val="right"/>
              <w:rPr>
                <w:rFonts w:ascii="Abadi" w:hAnsi="Abadi" w:cstheme="minorHAnsi"/>
                <w:sz w:val="20"/>
                <w:szCs w:val="20"/>
                <w:lang w:val="es-ES_tradnl"/>
              </w:rPr>
            </w:pPr>
            <w:r w:rsidRPr="00C80F8E">
              <w:rPr>
                <w:rFonts w:ascii="Abadi" w:hAnsi="Abadi" w:cstheme="minorHAnsi"/>
                <w:sz w:val="20"/>
                <w:szCs w:val="20"/>
                <w:lang w:val="es-ES_tradnl"/>
              </w:rPr>
              <w:t>121,668.25</w:t>
            </w:r>
          </w:p>
        </w:tc>
        <w:tc>
          <w:tcPr>
            <w:tcW w:w="2125" w:type="dxa"/>
            <w:tcBorders>
              <w:top w:val="single" w:sz="4" w:space="0" w:color="auto"/>
              <w:bottom w:val="single" w:sz="4" w:space="0" w:color="auto"/>
            </w:tcBorders>
          </w:tcPr>
          <w:p w14:paraId="0B86806E" w14:textId="6AE8C309" w:rsidR="00AC0E45" w:rsidRPr="00C80F8E" w:rsidRDefault="00350F3D" w:rsidP="00AC0E45">
            <w:pPr>
              <w:jc w:val="right"/>
              <w:rPr>
                <w:rFonts w:ascii="Abadi" w:hAnsi="Abadi" w:cstheme="minorHAnsi"/>
                <w:sz w:val="20"/>
                <w:szCs w:val="20"/>
                <w:lang w:val="es-ES_tradnl"/>
              </w:rPr>
            </w:pPr>
            <w:r w:rsidRPr="00C80F8E">
              <w:rPr>
                <w:rFonts w:ascii="Abadi" w:hAnsi="Abadi" w:cstheme="minorHAnsi"/>
                <w:sz w:val="20"/>
                <w:szCs w:val="20"/>
                <w:lang w:val="es-ES_tradnl"/>
              </w:rPr>
              <w:t>134</w:t>
            </w:r>
            <w:r w:rsidR="00B2777E" w:rsidRPr="00C80F8E">
              <w:rPr>
                <w:rFonts w:ascii="Abadi" w:hAnsi="Abadi" w:cstheme="minorHAnsi"/>
                <w:sz w:val="20"/>
                <w:szCs w:val="20"/>
                <w:lang w:val="es-ES_tradnl"/>
              </w:rPr>
              <w:t>,</w:t>
            </w:r>
            <w:r w:rsidR="008A4EFE" w:rsidRPr="00C80F8E">
              <w:rPr>
                <w:rFonts w:ascii="Abadi" w:hAnsi="Abadi" w:cstheme="minorHAnsi"/>
                <w:sz w:val="20"/>
                <w:szCs w:val="20"/>
                <w:lang w:val="es-ES_tradnl"/>
              </w:rPr>
              <w:t>802.02</w:t>
            </w:r>
          </w:p>
        </w:tc>
      </w:tr>
      <w:tr w:rsidR="00AC0E45" w:rsidRPr="00C80F8E" w14:paraId="0C21039C" w14:textId="77777777" w:rsidTr="00B00F63">
        <w:tc>
          <w:tcPr>
            <w:tcW w:w="4891" w:type="dxa"/>
          </w:tcPr>
          <w:p w14:paraId="5B7EDF71" w14:textId="77777777" w:rsidR="00AC0E45" w:rsidRPr="00C80F8E" w:rsidRDefault="00AC0E45" w:rsidP="00AC0E45">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Retenciones y acumulaciones por pagar</w:t>
            </w:r>
          </w:p>
        </w:tc>
        <w:tc>
          <w:tcPr>
            <w:tcW w:w="2268" w:type="dxa"/>
            <w:tcBorders>
              <w:top w:val="single" w:sz="12" w:space="0" w:color="auto"/>
              <w:left w:val="nil"/>
              <w:bottom w:val="double" w:sz="4" w:space="0" w:color="auto"/>
              <w:right w:val="nil"/>
            </w:tcBorders>
          </w:tcPr>
          <w:p w14:paraId="2D4EE571" w14:textId="71B7C404" w:rsidR="00AC0E45" w:rsidRPr="00C80F8E" w:rsidRDefault="005A40C3" w:rsidP="007471E4">
            <w:pPr>
              <w:jc w:val="right"/>
              <w:rPr>
                <w:rFonts w:ascii="Abadi" w:hAnsi="Abadi" w:cstheme="minorHAnsi"/>
                <w:b/>
                <w:bCs/>
                <w:sz w:val="20"/>
                <w:szCs w:val="20"/>
                <w:lang w:val="es-ES_tradnl"/>
              </w:rPr>
            </w:pPr>
            <w:r w:rsidRPr="00C80F8E">
              <w:rPr>
                <w:rFonts w:ascii="Abadi" w:hAnsi="Abadi" w:cstheme="minorHAnsi"/>
                <w:b/>
                <w:bCs/>
                <w:sz w:val="20"/>
                <w:szCs w:val="20"/>
                <w:lang w:val="es-ES_tradnl"/>
              </w:rPr>
              <w:t>3,751,671.27</w:t>
            </w:r>
          </w:p>
        </w:tc>
        <w:tc>
          <w:tcPr>
            <w:tcW w:w="2125" w:type="dxa"/>
            <w:tcBorders>
              <w:top w:val="single" w:sz="12" w:space="0" w:color="auto"/>
              <w:bottom w:val="double" w:sz="4" w:space="0" w:color="auto"/>
            </w:tcBorders>
          </w:tcPr>
          <w:p w14:paraId="46C4EF66" w14:textId="65702380" w:rsidR="00AC0E45" w:rsidRPr="00C80F8E" w:rsidRDefault="00394162" w:rsidP="00AC0E45">
            <w:pPr>
              <w:jc w:val="right"/>
              <w:rPr>
                <w:rFonts w:ascii="Abadi" w:hAnsi="Abadi" w:cstheme="minorHAnsi"/>
                <w:b/>
                <w:bCs/>
                <w:sz w:val="20"/>
                <w:szCs w:val="20"/>
                <w:lang w:val="es-ES_tradnl"/>
              </w:rPr>
            </w:pPr>
            <w:r w:rsidRPr="00C80F8E">
              <w:rPr>
                <w:rFonts w:ascii="Abadi" w:hAnsi="Abadi" w:cstheme="minorHAnsi"/>
                <w:b/>
                <w:bCs/>
                <w:sz w:val="20"/>
                <w:szCs w:val="20"/>
                <w:lang w:val="es-ES_tradnl"/>
              </w:rPr>
              <w:t>3,931,704.43</w:t>
            </w:r>
          </w:p>
        </w:tc>
      </w:tr>
    </w:tbl>
    <w:p w14:paraId="7331A207" w14:textId="77777777" w:rsidR="006C2D82" w:rsidRPr="00C80F8E" w:rsidRDefault="006C2D82" w:rsidP="00512DFF">
      <w:pPr>
        <w:spacing w:line="240" w:lineRule="auto"/>
        <w:rPr>
          <w:rFonts w:ascii="Abadi" w:hAnsi="Abadi" w:cstheme="minorHAnsi"/>
          <w:b/>
          <w:sz w:val="20"/>
          <w:szCs w:val="20"/>
          <w:lang w:val="es-ES_tradnl"/>
        </w:rPr>
      </w:pPr>
    </w:p>
    <w:p w14:paraId="747060AA" w14:textId="62346082" w:rsidR="005C5C2F" w:rsidRPr="00C80F8E" w:rsidRDefault="00B94BFB" w:rsidP="00A7606E">
      <w:pPr>
        <w:pStyle w:val="Prrafodelista"/>
        <w:numPr>
          <w:ilvl w:val="0"/>
          <w:numId w:val="1"/>
        </w:numPr>
        <w:spacing w:line="240" w:lineRule="auto"/>
        <w:ind w:left="283" w:hanging="357"/>
        <w:rPr>
          <w:rFonts w:ascii="Abadi" w:hAnsi="Abadi" w:cstheme="minorHAnsi"/>
          <w:b/>
          <w:sz w:val="20"/>
          <w:szCs w:val="20"/>
          <w:lang w:val="es-ES_tradnl"/>
        </w:rPr>
      </w:pPr>
      <w:r w:rsidRPr="00C80F8E">
        <w:rPr>
          <w:rFonts w:ascii="Abadi" w:hAnsi="Abadi" w:cstheme="minorHAnsi"/>
          <w:b/>
          <w:sz w:val="20"/>
          <w:szCs w:val="20"/>
          <w:lang w:val="es-ES_tradnl"/>
        </w:rPr>
        <w:t>Provisiones a corto plazo</w:t>
      </w:r>
      <w:r w:rsidR="00FE1027" w:rsidRPr="00C80F8E">
        <w:rPr>
          <w:rFonts w:ascii="Abadi" w:hAnsi="Abadi" w:cstheme="minorHAnsi"/>
          <w:b/>
          <w:sz w:val="20"/>
          <w:szCs w:val="20"/>
          <w:lang w:val="es-ES_tradnl"/>
        </w:rPr>
        <w:t xml:space="preserve"> (Beneficios a empleados</w:t>
      </w:r>
      <w:r w:rsidR="00650109" w:rsidRPr="00C80F8E">
        <w:rPr>
          <w:rFonts w:ascii="Abadi" w:hAnsi="Abadi" w:cstheme="minorHAnsi"/>
          <w:b/>
          <w:sz w:val="20"/>
          <w:szCs w:val="20"/>
          <w:lang w:val="es-ES_tradnl"/>
        </w:rPr>
        <w:t>)</w:t>
      </w:r>
    </w:p>
    <w:p w14:paraId="1639462F" w14:textId="30AFC7E1" w:rsidR="005C5C2F" w:rsidRPr="00C80F8E" w:rsidRDefault="00E90A74" w:rsidP="00E90A74">
      <w:pPr>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total de provisiones a corto plazo ascendió a RD$70,185,411.54, en comparación con RD$46,973,929.51 registrados al 30 de junio de 2024. Esta diferencia representa un incremento absoluto de RD$23,211,482.03 y una variación relativa positiva de 49.41%, reflejando un aumento en las obligaciones acumuladas por concepto de regalía pascual, bonos institucionales y prestaciones económicas al cierre del primer semestre del ejercicio 2025.</w:t>
      </w:r>
      <w:r w:rsidR="005C5C2F" w:rsidRPr="00C80F8E">
        <w:rPr>
          <w:rFonts w:ascii="Abadi" w:hAnsi="Abadi" w:cstheme="minorHAnsi"/>
          <w:bCs/>
          <w:sz w:val="20"/>
          <w:szCs w:val="20"/>
          <w:lang w:val="es-ES_tradnl"/>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5C5C2F" w:rsidRPr="00C80F8E" w14:paraId="4F86F152" w14:textId="77777777" w:rsidTr="006C2D82">
        <w:tc>
          <w:tcPr>
            <w:tcW w:w="4891" w:type="dxa"/>
            <w:shd w:val="clear" w:color="auto" w:fill="0070C0"/>
          </w:tcPr>
          <w:p w14:paraId="2E462642" w14:textId="77777777" w:rsidR="005C5C2F" w:rsidRPr="00C80F8E" w:rsidRDefault="005C5C2F"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tcBorders>
              <w:bottom w:val="single" w:sz="2" w:space="0" w:color="auto"/>
            </w:tcBorders>
            <w:shd w:val="clear" w:color="auto" w:fill="0070C0"/>
          </w:tcPr>
          <w:p w14:paraId="543679C2" w14:textId="0C530026" w:rsidR="005C5C2F"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B56F7" w:rsidRPr="00C80F8E">
              <w:rPr>
                <w:rFonts w:ascii="Abadi" w:hAnsi="Abadi" w:cstheme="minorHAnsi"/>
                <w:b/>
                <w:bCs/>
                <w:color w:val="FFFFFF" w:themeColor="background1"/>
                <w:sz w:val="20"/>
                <w:szCs w:val="20"/>
                <w:lang w:val="es-ES_tradnl"/>
              </w:rPr>
              <w:t>5</w:t>
            </w:r>
          </w:p>
        </w:tc>
        <w:tc>
          <w:tcPr>
            <w:tcW w:w="2125" w:type="dxa"/>
            <w:tcBorders>
              <w:bottom w:val="single" w:sz="2" w:space="0" w:color="auto"/>
            </w:tcBorders>
            <w:shd w:val="clear" w:color="auto" w:fill="0070C0"/>
          </w:tcPr>
          <w:p w14:paraId="48E9E1C4" w14:textId="20B2C409" w:rsidR="005C5C2F"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0B56F7" w:rsidRPr="00C80F8E">
              <w:rPr>
                <w:rFonts w:ascii="Abadi" w:hAnsi="Abadi" w:cstheme="minorHAnsi"/>
                <w:b/>
                <w:bCs/>
                <w:color w:val="FFFFFF" w:themeColor="background1"/>
                <w:sz w:val="20"/>
                <w:szCs w:val="20"/>
                <w:lang w:val="es-ES_tradnl"/>
              </w:rPr>
              <w:t>4</w:t>
            </w:r>
          </w:p>
        </w:tc>
      </w:tr>
      <w:tr w:rsidR="00FF7FC2" w:rsidRPr="00C80F8E" w14:paraId="5B6B8466" w14:textId="77777777" w:rsidTr="00445D9D">
        <w:tc>
          <w:tcPr>
            <w:tcW w:w="4891" w:type="dxa"/>
          </w:tcPr>
          <w:p w14:paraId="797EF4F5" w14:textId="24DC86B1" w:rsidR="00FF7FC2" w:rsidRPr="00C80F8E" w:rsidRDefault="00A50058" w:rsidP="00FF7FC2">
            <w:pPr>
              <w:jc w:val="both"/>
              <w:rPr>
                <w:rFonts w:ascii="Abadi" w:hAnsi="Abadi" w:cstheme="minorHAnsi"/>
                <w:bCs/>
                <w:sz w:val="20"/>
                <w:szCs w:val="20"/>
                <w:lang w:val="es-ES_tradnl"/>
              </w:rPr>
            </w:pPr>
            <w:r w:rsidRPr="00C80F8E">
              <w:rPr>
                <w:rFonts w:ascii="Abadi" w:hAnsi="Abadi" w:cstheme="minorHAnsi"/>
                <w:bCs/>
                <w:sz w:val="20"/>
                <w:szCs w:val="20"/>
                <w:lang w:val="es-ES_tradnl"/>
              </w:rPr>
              <w:t>Provisión para Regalía Pascual</w:t>
            </w:r>
          </w:p>
        </w:tc>
        <w:tc>
          <w:tcPr>
            <w:tcW w:w="2268" w:type="dxa"/>
            <w:tcBorders>
              <w:top w:val="single" w:sz="2" w:space="0" w:color="auto"/>
              <w:bottom w:val="single" w:sz="4" w:space="0" w:color="auto"/>
            </w:tcBorders>
          </w:tcPr>
          <w:p w14:paraId="16885DD5" w14:textId="698A0C04" w:rsidR="00FF7FC2" w:rsidRPr="00C80F8E" w:rsidRDefault="0040794C" w:rsidP="00FF7FC2">
            <w:pPr>
              <w:jc w:val="right"/>
              <w:rPr>
                <w:rFonts w:ascii="Abadi" w:hAnsi="Abadi" w:cstheme="minorHAnsi"/>
                <w:sz w:val="20"/>
                <w:szCs w:val="20"/>
                <w:lang w:val="es-ES_tradnl"/>
              </w:rPr>
            </w:pPr>
            <w:r w:rsidRPr="00C80F8E">
              <w:rPr>
                <w:rFonts w:ascii="Abadi" w:hAnsi="Abadi" w:cstheme="minorHAnsi"/>
                <w:sz w:val="20"/>
                <w:szCs w:val="20"/>
                <w:lang w:val="es-ES_tradnl"/>
              </w:rPr>
              <w:t>9,650,541.33</w:t>
            </w:r>
          </w:p>
        </w:tc>
        <w:tc>
          <w:tcPr>
            <w:tcW w:w="2125" w:type="dxa"/>
            <w:tcBorders>
              <w:top w:val="single" w:sz="2" w:space="0" w:color="auto"/>
              <w:bottom w:val="single" w:sz="4" w:space="0" w:color="auto"/>
            </w:tcBorders>
            <w:vAlign w:val="center"/>
          </w:tcPr>
          <w:p w14:paraId="08846D8E" w14:textId="257430F9" w:rsidR="00FF7FC2" w:rsidRPr="00C80F8E" w:rsidRDefault="00AA25B5" w:rsidP="00FF7FC2">
            <w:pPr>
              <w:jc w:val="right"/>
              <w:rPr>
                <w:rFonts w:ascii="Abadi" w:hAnsi="Abadi" w:cstheme="minorHAnsi"/>
                <w:sz w:val="20"/>
                <w:szCs w:val="20"/>
                <w:lang w:val="es-ES_tradnl"/>
              </w:rPr>
            </w:pPr>
            <w:r w:rsidRPr="00C80F8E">
              <w:rPr>
                <w:rFonts w:ascii="Abadi" w:hAnsi="Abadi" w:cstheme="minorHAnsi"/>
                <w:sz w:val="20"/>
                <w:szCs w:val="20"/>
                <w:lang w:val="es-ES_tradnl"/>
              </w:rPr>
              <w:t>9,065,566.20</w:t>
            </w:r>
          </w:p>
        </w:tc>
      </w:tr>
      <w:tr w:rsidR="00A02BE7" w:rsidRPr="00C80F8E" w14:paraId="0AE44A82" w14:textId="77777777" w:rsidTr="00445D9D">
        <w:tc>
          <w:tcPr>
            <w:tcW w:w="4891" w:type="dxa"/>
          </w:tcPr>
          <w:p w14:paraId="41D91286" w14:textId="60F4FF69" w:rsidR="00A02BE7" w:rsidRPr="00C80F8E" w:rsidRDefault="004412E4" w:rsidP="00FF7FC2">
            <w:pPr>
              <w:jc w:val="both"/>
              <w:rPr>
                <w:rFonts w:ascii="Abadi" w:hAnsi="Abadi" w:cstheme="minorHAnsi"/>
                <w:iCs/>
                <w:color w:val="000000"/>
                <w:sz w:val="20"/>
                <w:szCs w:val="20"/>
                <w:lang w:val="es-ES_tradnl" w:eastAsia="es-ES"/>
              </w:rPr>
            </w:pPr>
            <w:r w:rsidRPr="00C80F8E">
              <w:rPr>
                <w:rFonts w:ascii="Abadi" w:hAnsi="Abadi" w:cstheme="minorHAnsi"/>
                <w:iCs/>
                <w:color w:val="000000"/>
                <w:sz w:val="20"/>
                <w:szCs w:val="20"/>
                <w:lang w:val="es-ES_tradnl" w:eastAsia="es-ES"/>
              </w:rPr>
              <w:t>Provisión</w:t>
            </w:r>
            <w:r w:rsidR="00BC5ED8" w:rsidRPr="00C80F8E">
              <w:rPr>
                <w:rFonts w:ascii="Abadi" w:hAnsi="Abadi" w:cstheme="minorHAnsi"/>
                <w:iCs/>
                <w:color w:val="000000"/>
                <w:sz w:val="20"/>
                <w:szCs w:val="20"/>
                <w:lang w:val="es-ES_tradnl" w:eastAsia="es-ES"/>
              </w:rPr>
              <w:t xml:space="preserve"> para Bono Navideño</w:t>
            </w:r>
          </w:p>
        </w:tc>
        <w:tc>
          <w:tcPr>
            <w:tcW w:w="2268" w:type="dxa"/>
            <w:tcBorders>
              <w:top w:val="single" w:sz="4" w:space="0" w:color="auto"/>
              <w:bottom w:val="single" w:sz="4" w:space="0" w:color="auto"/>
            </w:tcBorders>
          </w:tcPr>
          <w:p w14:paraId="3FA87C7E" w14:textId="6F96E378" w:rsidR="00A02BE7" w:rsidRPr="00C80F8E" w:rsidRDefault="005C46F7" w:rsidP="00FF7FC2">
            <w:pPr>
              <w:jc w:val="right"/>
              <w:rPr>
                <w:rFonts w:ascii="Abadi" w:hAnsi="Abadi" w:cstheme="minorHAnsi"/>
                <w:sz w:val="20"/>
                <w:szCs w:val="20"/>
                <w:lang w:val="es-ES_tradnl"/>
              </w:rPr>
            </w:pPr>
            <w:r w:rsidRPr="00C80F8E">
              <w:rPr>
                <w:rFonts w:ascii="Abadi" w:hAnsi="Abadi" w:cstheme="minorHAnsi"/>
                <w:sz w:val="20"/>
                <w:szCs w:val="20"/>
                <w:lang w:val="es-ES_tradnl"/>
              </w:rPr>
              <w:t>19,382,465.86</w:t>
            </w:r>
          </w:p>
        </w:tc>
        <w:tc>
          <w:tcPr>
            <w:tcW w:w="2125" w:type="dxa"/>
            <w:tcBorders>
              <w:top w:val="single" w:sz="4" w:space="0" w:color="auto"/>
              <w:bottom w:val="single" w:sz="4" w:space="0" w:color="auto"/>
            </w:tcBorders>
            <w:vAlign w:val="center"/>
          </w:tcPr>
          <w:p w14:paraId="3DBCB122" w14:textId="56876473" w:rsidR="00A02BE7" w:rsidRPr="00C80F8E" w:rsidRDefault="00AA25B5" w:rsidP="00FF7FC2">
            <w:pPr>
              <w:jc w:val="right"/>
              <w:rPr>
                <w:rFonts w:ascii="Abadi" w:hAnsi="Abadi" w:cstheme="minorHAnsi"/>
                <w:sz w:val="20"/>
                <w:szCs w:val="20"/>
                <w:lang w:val="es-ES_tradnl"/>
              </w:rPr>
            </w:pPr>
            <w:r w:rsidRPr="00C80F8E">
              <w:rPr>
                <w:rFonts w:ascii="Abadi" w:hAnsi="Abadi" w:cstheme="minorHAnsi"/>
                <w:sz w:val="20"/>
                <w:szCs w:val="20"/>
                <w:lang w:val="es-ES_tradnl"/>
              </w:rPr>
              <w:t>18,236,671.28</w:t>
            </w:r>
          </w:p>
        </w:tc>
      </w:tr>
      <w:tr w:rsidR="00A02BE7" w:rsidRPr="00C80F8E" w14:paraId="6A50C920" w14:textId="77777777" w:rsidTr="00445D9D">
        <w:tc>
          <w:tcPr>
            <w:tcW w:w="4891" w:type="dxa"/>
          </w:tcPr>
          <w:p w14:paraId="010CA67E" w14:textId="7FADB72B" w:rsidR="00A02BE7" w:rsidRPr="00C80F8E" w:rsidRDefault="004412E4" w:rsidP="00FF7FC2">
            <w:pPr>
              <w:jc w:val="both"/>
              <w:rPr>
                <w:rFonts w:ascii="Abadi" w:hAnsi="Abadi" w:cstheme="minorHAnsi"/>
                <w:iCs/>
                <w:color w:val="000000"/>
                <w:sz w:val="20"/>
                <w:szCs w:val="20"/>
                <w:lang w:val="es-ES_tradnl" w:eastAsia="es-ES"/>
              </w:rPr>
            </w:pPr>
            <w:r w:rsidRPr="00C80F8E">
              <w:rPr>
                <w:rFonts w:ascii="Abadi" w:hAnsi="Abadi" w:cstheme="minorHAnsi"/>
                <w:iCs/>
                <w:color w:val="000000"/>
                <w:sz w:val="20"/>
                <w:szCs w:val="20"/>
                <w:lang w:val="es-ES_tradnl" w:eastAsia="es-ES"/>
              </w:rPr>
              <w:t>Provisión</w:t>
            </w:r>
            <w:r w:rsidR="003B038F" w:rsidRPr="00C80F8E">
              <w:rPr>
                <w:rFonts w:ascii="Abadi" w:hAnsi="Abadi" w:cstheme="minorHAnsi"/>
                <w:iCs/>
                <w:color w:val="000000"/>
                <w:sz w:val="20"/>
                <w:szCs w:val="20"/>
                <w:lang w:val="es-ES_tradnl" w:eastAsia="es-ES"/>
              </w:rPr>
              <w:t xml:space="preserve"> para </w:t>
            </w:r>
            <w:r w:rsidR="006A1C85">
              <w:rPr>
                <w:rFonts w:ascii="Abadi" w:hAnsi="Abadi" w:cstheme="minorHAnsi"/>
                <w:iCs/>
                <w:color w:val="000000"/>
                <w:sz w:val="20"/>
                <w:szCs w:val="20"/>
                <w:lang w:val="es-ES_tradnl" w:eastAsia="es-ES"/>
              </w:rPr>
              <w:t>B</w:t>
            </w:r>
            <w:r w:rsidR="003B038F" w:rsidRPr="00C80F8E">
              <w:rPr>
                <w:rFonts w:ascii="Abadi" w:hAnsi="Abadi" w:cstheme="minorHAnsi"/>
                <w:iCs/>
                <w:color w:val="000000"/>
                <w:sz w:val="20"/>
                <w:szCs w:val="20"/>
                <w:lang w:val="es-ES_tradnl" w:eastAsia="es-ES"/>
              </w:rPr>
              <w:t>ono Aniversario</w:t>
            </w:r>
          </w:p>
        </w:tc>
        <w:tc>
          <w:tcPr>
            <w:tcW w:w="2268" w:type="dxa"/>
            <w:tcBorders>
              <w:top w:val="single" w:sz="4" w:space="0" w:color="auto"/>
              <w:bottom w:val="single" w:sz="4" w:space="0" w:color="auto"/>
            </w:tcBorders>
          </w:tcPr>
          <w:p w14:paraId="5D5BD47D" w14:textId="7EAB9BEE" w:rsidR="00A02BE7" w:rsidRPr="00C80F8E" w:rsidRDefault="005C46F7" w:rsidP="00FF7FC2">
            <w:pPr>
              <w:jc w:val="right"/>
              <w:rPr>
                <w:rFonts w:ascii="Abadi" w:hAnsi="Abadi" w:cstheme="minorHAnsi"/>
                <w:sz w:val="20"/>
                <w:szCs w:val="20"/>
                <w:lang w:val="es-ES_tradnl"/>
              </w:rPr>
            </w:pPr>
            <w:r w:rsidRPr="00C80F8E">
              <w:rPr>
                <w:rFonts w:ascii="Abadi" w:hAnsi="Abadi" w:cstheme="minorHAnsi"/>
                <w:sz w:val="20"/>
                <w:szCs w:val="20"/>
                <w:lang w:val="es-ES_tradnl"/>
              </w:rPr>
              <w:t>19,632,749.69</w:t>
            </w:r>
          </w:p>
        </w:tc>
        <w:tc>
          <w:tcPr>
            <w:tcW w:w="2125" w:type="dxa"/>
            <w:tcBorders>
              <w:top w:val="single" w:sz="4" w:space="0" w:color="auto"/>
              <w:bottom w:val="single" w:sz="4" w:space="0" w:color="auto"/>
            </w:tcBorders>
            <w:vAlign w:val="center"/>
          </w:tcPr>
          <w:p w14:paraId="26F39967" w14:textId="21F54822" w:rsidR="00A02BE7" w:rsidRPr="00C80F8E" w:rsidRDefault="001E7CCA" w:rsidP="00FF7FC2">
            <w:pPr>
              <w:jc w:val="right"/>
              <w:rPr>
                <w:rFonts w:ascii="Abadi" w:hAnsi="Abadi" w:cstheme="minorHAnsi"/>
                <w:sz w:val="20"/>
                <w:szCs w:val="20"/>
                <w:lang w:val="es-ES_tradnl"/>
              </w:rPr>
            </w:pPr>
            <w:r w:rsidRPr="00C80F8E">
              <w:rPr>
                <w:rFonts w:ascii="Abadi" w:hAnsi="Abadi" w:cstheme="minorHAnsi"/>
                <w:sz w:val="20"/>
                <w:szCs w:val="20"/>
                <w:lang w:val="es-ES_tradnl"/>
              </w:rPr>
              <w:t>18,159,816.07</w:t>
            </w:r>
          </w:p>
        </w:tc>
      </w:tr>
      <w:tr w:rsidR="006A1C85" w:rsidRPr="00C80F8E" w14:paraId="494604C0" w14:textId="77777777" w:rsidTr="00445D9D">
        <w:tc>
          <w:tcPr>
            <w:tcW w:w="4891" w:type="dxa"/>
          </w:tcPr>
          <w:p w14:paraId="48678BFD" w14:textId="67A01778" w:rsidR="006A1C85" w:rsidRPr="00C80F8E" w:rsidRDefault="006A1C85" w:rsidP="00FF7FC2">
            <w:pPr>
              <w:jc w:val="both"/>
              <w:rPr>
                <w:rFonts w:ascii="Abadi" w:hAnsi="Abadi" w:cstheme="minorHAnsi"/>
                <w:iCs/>
                <w:color w:val="000000"/>
                <w:sz w:val="20"/>
                <w:szCs w:val="20"/>
                <w:lang w:val="es-ES_tradnl" w:eastAsia="es-ES"/>
              </w:rPr>
            </w:pPr>
            <w:r>
              <w:rPr>
                <w:rFonts w:ascii="Abadi" w:hAnsi="Abadi" w:cstheme="minorHAnsi"/>
                <w:iCs/>
                <w:color w:val="000000"/>
                <w:sz w:val="20"/>
                <w:szCs w:val="20"/>
                <w:lang w:val="es-ES_tradnl" w:eastAsia="es-ES"/>
              </w:rPr>
              <w:t>Provisión para Bono Escolar</w:t>
            </w:r>
          </w:p>
        </w:tc>
        <w:tc>
          <w:tcPr>
            <w:tcW w:w="2268" w:type="dxa"/>
            <w:tcBorders>
              <w:top w:val="single" w:sz="4" w:space="0" w:color="auto"/>
              <w:bottom w:val="single" w:sz="4" w:space="0" w:color="auto"/>
            </w:tcBorders>
          </w:tcPr>
          <w:p w14:paraId="47724359" w14:textId="418F7FD9" w:rsidR="006A1C85" w:rsidRPr="00C80F8E" w:rsidRDefault="006A1C85" w:rsidP="00FF7FC2">
            <w:pPr>
              <w:jc w:val="right"/>
              <w:rPr>
                <w:rFonts w:ascii="Abadi" w:hAnsi="Abadi" w:cstheme="minorHAnsi"/>
                <w:sz w:val="20"/>
                <w:szCs w:val="20"/>
                <w:lang w:val="es-ES_tradnl"/>
              </w:rPr>
            </w:pPr>
            <w:r>
              <w:rPr>
                <w:rFonts w:ascii="Abadi" w:hAnsi="Abadi" w:cstheme="minorHAnsi"/>
                <w:sz w:val="20"/>
                <w:szCs w:val="20"/>
                <w:lang w:val="es-ES_tradnl"/>
              </w:rPr>
              <w:t>15,942,857.16</w:t>
            </w:r>
          </w:p>
        </w:tc>
        <w:tc>
          <w:tcPr>
            <w:tcW w:w="2125" w:type="dxa"/>
            <w:tcBorders>
              <w:top w:val="single" w:sz="4" w:space="0" w:color="auto"/>
              <w:bottom w:val="single" w:sz="4" w:space="0" w:color="auto"/>
            </w:tcBorders>
            <w:vAlign w:val="center"/>
          </w:tcPr>
          <w:p w14:paraId="058E9064" w14:textId="1B53258C" w:rsidR="006A1C85" w:rsidRPr="00C80F8E" w:rsidRDefault="006A1C85" w:rsidP="00FF7FC2">
            <w:pPr>
              <w:jc w:val="right"/>
              <w:rPr>
                <w:rFonts w:ascii="Abadi" w:hAnsi="Abadi" w:cstheme="minorHAnsi"/>
                <w:sz w:val="20"/>
                <w:szCs w:val="20"/>
                <w:lang w:val="es-ES_tradnl"/>
              </w:rPr>
            </w:pPr>
            <w:r>
              <w:rPr>
                <w:rFonts w:ascii="Abadi" w:hAnsi="Abadi" w:cstheme="minorHAnsi"/>
                <w:sz w:val="20"/>
                <w:szCs w:val="20"/>
                <w:lang w:val="es-ES_tradnl"/>
              </w:rPr>
              <w:t>0.00</w:t>
            </w:r>
          </w:p>
        </w:tc>
      </w:tr>
      <w:tr w:rsidR="00A50058" w:rsidRPr="00C80F8E" w14:paraId="70C1D555" w14:textId="77777777" w:rsidTr="00445D9D">
        <w:tc>
          <w:tcPr>
            <w:tcW w:w="4891" w:type="dxa"/>
          </w:tcPr>
          <w:p w14:paraId="420356E1" w14:textId="73BE2A36" w:rsidR="00A50058" w:rsidRPr="00C80F8E" w:rsidRDefault="00A50058" w:rsidP="00A50058">
            <w:pPr>
              <w:jc w:val="both"/>
              <w:rPr>
                <w:rFonts w:ascii="Abadi" w:hAnsi="Abadi" w:cstheme="minorHAnsi"/>
                <w:iCs/>
                <w:color w:val="000000"/>
                <w:sz w:val="20"/>
                <w:szCs w:val="20"/>
                <w:lang w:val="es-ES_tradnl" w:eastAsia="es-ES"/>
              </w:rPr>
            </w:pPr>
            <w:r w:rsidRPr="00C80F8E">
              <w:rPr>
                <w:rFonts w:ascii="Abadi" w:hAnsi="Abadi" w:cstheme="minorHAnsi"/>
                <w:iCs/>
                <w:color w:val="000000"/>
                <w:sz w:val="20"/>
                <w:szCs w:val="20"/>
                <w:lang w:val="es-ES_tradnl" w:eastAsia="es-ES"/>
              </w:rPr>
              <w:t xml:space="preserve">Provisión para Prestaciones Económica                                                       </w:t>
            </w:r>
          </w:p>
        </w:tc>
        <w:tc>
          <w:tcPr>
            <w:tcW w:w="2268" w:type="dxa"/>
            <w:tcBorders>
              <w:top w:val="single" w:sz="4" w:space="0" w:color="auto"/>
              <w:bottom w:val="single" w:sz="12" w:space="0" w:color="auto"/>
            </w:tcBorders>
          </w:tcPr>
          <w:p w14:paraId="1528DF2A" w14:textId="0BF13757" w:rsidR="00A50058" w:rsidRPr="00C80F8E" w:rsidRDefault="008C0018" w:rsidP="00A50058">
            <w:pPr>
              <w:jc w:val="right"/>
              <w:rPr>
                <w:rFonts w:ascii="Abadi" w:hAnsi="Abadi" w:cstheme="minorHAnsi"/>
                <w:sz w:val="20"/>
                <w:szCs w:val="20"/>
                <w:lang w:val="es-ES_tradnl"/>
              </w:rPr>
            </w:pPr>
            <w:r w:rsidRPr="00C80F8E">
              <w:rPr>
                <w:rFonts w:ascii="Abadi" w:hAnsi="Abadi" w:cstheme="minorHAnsi"/>
                <w:sz w:val="20"/>
                <w:szCs w:val="20"/>
                <w:lang w:val="es-ES_tradnl"/>
              </w:rPr>
              <w:t>5,576,797.50</w:t>
            </w:r>
          </w:p>
        </w:tc>
        <w:tc>
          <w:tcPr>
            <w:tcW w:w="2125" w:type="dxa"/>
            <w:tcBorders>
              <w:top w:val="single" w:sz="4" w:space="0" w:color="auto"/>
              <w:bottom w:val="single" w:sz="12" w:space="0" w:color="auto"/>
            </w:tcBorders>
            <w:vAlign w:val="center"/>
          </w:tcPr>
          <w:p w14:paraId="5C061789" w14:textId="1BFB0F46" w:rsidR="00A50058" w:rsidRPr="00C80F8E" w:rsidRDefault="001517F3" w:rsidP="00A50058">
            <w:pPr>
              <w:jc w:val="right"/>
              <w:rPr>
                <w:rFonts w:ascii="Abadi" w:hAnsi="Abadi" w:cstheme="minorHAnsi"/>
                <w:sz w:val="20"/>
                <w:szCs w:val="20"/>
                <w:lang w:val="es-ES_tradnl"/>
              </w:rPr>
            </w:pPr>
            <w:r w:rsidRPr="00C80F8E">
              <w:rPr>
                <w:rFonts w:ascii="Abadi" w:hAnsi="Abadi" w:cstheme="minorHAnsi"/>
                <w:sz w:val="20"/>
                <w:szCs w:val="20"/>
                <w:lang w:val="es-ES_tradnl"/>
              </w:rPr>
              <w:t>1,511,875.96</w:t>
            </w:r>
          </w:p>
        </w:tc>
      </w:tr>
      <w:tr w:rsidR="00A50058" w:rsidRPr="00C80F8E" w14:paraId="317B3C15" w14:textId="77777777" w:rsidTr="00147704">
        <w:tc>
          <w:tcPr>
            <w:tcW w:w="4891" w:type="dxa"/>
          </w:tcPr>
          <w:p w14:paraId="4F4D5A15" w14:textId="77777777" w:rsidR="00A50058" w:rsidRPr="00C80F8E" w:rsidRDefault="00A50058" w:rsidP="00A50058">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de provisiones a corto plazo</w:t>
            </w:r>
          </w:p>
        </w:tc>
        <w:tc>
          <w:tcPr>
            <w:tcW w:w="2268" w:type="dxa"/>
            <w:tcBorders>
              <w:top w:val="single" w:sz="12" w:space="0" w:color="auto"/>
              <w:bottom w:val="double" w:sz="4" w:space="0" w:color="auto"/>
            </w:tcBorders>
          </w:tcPr>
          <w:p w14:paraId="6585B596" w14:textId="041128F8" w:rsidR="00A50058" w:rsidRPr="00C80F8E" w:rsidRDefault="005107B3" w:rsidP="00A50058">
            <w:pPr>
              <w:jc w:val="right"/>
              <w:rPr>
                <w:rFonts w:ascii="Abadi" w:hAnsi="Abadi" w:cstheme="minorHAnsi"/>
                <w:b/>
                <w:bCs/>
                <w:sz w:val="20"/>
                <w:szCs w:val="20"/>
                <w:lang w:val="es-ES_tradnl"/>
              </w:rPr>
            </w:pPr>
            <w:r w:rsidRPr="00C80F8E">
              <w:rPr>
                <w:rFonts w:ascii="Abadi" w:hAnsi="Abadi" w:cstheme="minorHAnsi"/>
                <w:b/>
                <w:bCs/>
                <w:sz w:val="20"/>
                <w:szCs w:val="20"/>
                <w:lang w:val="es-ES_tradnl"/>
              </w:rPr>
              <w:t>70,185,411.54</w:t>
            </w:r>
          </w:p>
        </w:tc>
        <w:tc>
          <w:tcPr>
            <w:tcW w:w="2125" w:type="dxa"/>
            <w:tcBorders>
              <w:top w:val="single" w:sz="12" w:space="0" w:color="auto"/>
              <w:bottom w:val="double" w:sz="4" w:space="0" w:color="auto"/>
            </w:tcBorders>
          </w:tcPr>
          <w:p w14:paraId="55943327" w14:textId="45C312C9" w:rsidR="00A50058" w:rsidRPr="00C80F8E" w:rsidRDefault="00EA4395" w:rsidP="00A50058">
            <w:pPr>
              <w:jc w:val="right"/>
              <w:rPr>
                <w:rFonts w:ascii="Abadi" w:hAnsi="Abadi" w:cstheme="minorHAnsi"/>
                <w:b/>
                <w:bCs/>
                <w:sz w:val="20"/>
                <w:szCs w:val="20"/>
                <w:lang w:val="es-ES_tradnl"/>
              </w:rPr>
            </w:pPr>
            <w:r w:rsidRPr="00C80F8E">
              <w:rPr>
                <w:rFonts w:ascii="Abadi" w:hAnsi="Abadi" w:cstheme="minorHAnsi"/>
                <w:b/>
                <w:bCs/>
                <w:sz w:val="20"/>
                <w:szCs w:val="20"/>
                <w:lang w:val="es-ES_tradnl"/>
              </w:rPr>
              <w:t>4</w:t>
            </w:r>
            <w:r w:rsidR="00EA3C59" w:rsidRPr="00C80F8E">
              <w:rPr>
                <w:rFonts w:ascii="Abadi" w:hAnsi="Abadi" w:cstheme="minorHAnsi"/>
                <w:b/>
                <w:bCs/>
                <w:sz w:val="20"/>
                <w:szCs w:val="20"/>
                <w:lang w:val="es-ES_tradnl"/>
              </w:rPr>
              <w:t>6</w:t>
            </w:r>
            <w:r w:rsidRPr="00C80F8E">
              <w:rPr>
                <w:rFonts w:ascii="Abadi" w:hAnsi="Abadi" w:cstheme="minorHAnsi"/>
                <w:b/>
                <w:bCs/>
                <w:sz w:val="20"/>
                <w:szCs w:val="20"/>
                <w:lang w:val="es-ES_tradnl"/>
              </w:rPr>
              <w:t>,973,929.51</w:t>
            </w:r>
          </w:p>
        </w:tc>
      </w:tr>
    </w:tbl>
    <w:p w14:paraId="48D05896" w14:textId="77777777" w:rsidR="00784C54" w:rsidRPr="00C80F8E" w:rsidRDefault="00784C54" w:rsidP="00206674">
      <w:pPr>
        <w:spacing w:line="240" w:lineRule="auto"/>
        <w:contextualSpacing/>
        <w:rPr>
          <w:rFonts w:ascii="Abadi" w:hAnsi="Abadi" w:cstheme="minorHAnsi"/>
          <w:b/>
          <w:sz w:val="20"/>
          <w:szCs w:val="20"/>
          <w:lang w:val="es-ES_tradnl"/>
        </w:rPr>
      </w:pPr>
    </w:p>
    <w:p w14:paraId="2C2FF216" w14:textId="024C6BCD" w:rsidR="00414095" w:rsidRPr="00C80F8E" w:rsidRDefault="00414095"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O</w:t>
      </w:r>
      <w:r w:rsidR="00784C54" w:rsidRPr="00C80F8E">
        <w:rPr>
          <w:rFonts w:ascii="Abadi" w:hAnsi="Abadi" w:cstheme="minorHAnsi"/>
          <w:b/>
          <w:sz w:val="20"/>
          <w:szCs w:val="20"/>
          <w:lang w:val="es-ES_tradnl"/>
        </w:rPr>
        <w:t>tros pasivos Corrientes</w:t>
      </w:r>
    </w:p>
    <w:p w14:paraId="4666FD79" w14:textId="2344893C" w:rsidR="00414095" w:rsidRPr="00C80F8E" w:rsidRDefault="0096065B" w:rsidP="0096065B">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Al 30 de junio de 2025, el saldo correspondiente a fondos de terceros bajo la cuenta </w:t>
      </w:r>
      <w:proofErr w:type="spellStart"/>
      <w:r w:rsidRPr="00C80F8E">
        <w:rPr>
          <w:rFonts w:ascii="Abadi" w:hAnsi="Abadi" w:cstheme="minorHAnsi"/>
          <w:bCs/>
          <w:sz w:val="20"/>
          <w:szCs w:val="20"/>
          <w:lang w:val="es-ES_tradnl"/>
        </w:rPr>
        <w:t>CCRyLI</w:t>
      </w:r>
      <w:proofErr w:type="spellEnd"/>
      <w:r w:rsidRPr="00C80F8E">
        <w:rPr>
          <w:rFonts w:ascii="Abadi" w:hAnsi="Abadi" w:cstheme="minorHAnsi"/>
          <w:bCs/>
          <w:sz w:val="20"/>
          <w:szCs w:val="20"/>
          <w:lang w:val="es-ES_tradnl"/>
        </w:rPr>
        <w:t xml:space="preserve"> ascendió a RD$834,844.94, en comparación con RD$691,371.50 registrados al 30 de junio de 2024. Esta diferencia representa un incremento absoluto de RD$143,473.44 y una variación relativa positiva de 20.75%, reflejando mayores recursos administrados temporalmente por la entidad en nombre de terceros al cierre del período.</w:t>
      </w:r>
      <w:r w:rsidR="00414095" w:rsidRPr="00C80F8E">
        <w:rPr>
          <w:rFonts w:ascii="Abadi" w:hAnsi="Abadi" w:cstheme="minorHAnsi"/>
          <w:bCs/>
          <w:sz w:val="20"/>
          <w:szCs w:val="20"/>
          <w:lang w:val="es-ES_tradnl"/>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9918CA" w:rsidRPr="00C80F8E" w14:paraId="1708D131" w14:textId="77777777" w:rsidTr="006C2D82">
        <w:tc>
          <w:tcPr>
            <w:tcW w:w="4891" w:type="dxa"/>
            <w:shd w:val="clear" w:color="auto" w:fill="0070C0"/>
          </w:tcPr>
          <w:p w14:paraId="7816EFBC" w14:textId="77777777" w:rsidR="00414095" w:rsidRPr="00C80F8E" w:rsidRDefault="00414095"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tcBorders>
              <w:bottom w:val="single" w:sz="2" w:space="0" w:color="auto"/>
            </w:tcBorders>
            <w:shd w:val="clear" w:color="auto" w:fill="0070C0"/>
          </w:tcPr>
          <w:p w14:paraId="22F7E4E7" w14:textId="2C940E78" w:rsidR="00414095" w:rsidRPr="00C80F8E" w:rsidRDefault="00414095"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535CA4" w:rsidRPr="00C80F8E">
              <w:rPr>
                <w:rFonts w:ascii="Abadi" w:hAnsi="Abadi" w:cstheme="minorHAnsi"/>
                <w:b/>
                <w:bCs/>
                <w:color w:val="FFFFFF" w:themeColor="background1"/>
                <w:sz w:val="20"/>
                <w:szCs w:val="20"/>
                <w:lang w:val="es-ES_tradnl"/>
              </w:rPr>
              <w:t>5</w:t>
            </w:r>
          </w:p>
        </w:tc>
        <w:tc>
          <w:tcPr>
            <w:tcW w:w="2125" w:type="dxa"/>
            <w:tcBorders>
              <w:bottom w:val="single" w:sz="2" w:space="0" w:color="auto"/>
            </w:tcBorders>
            <w:shd w:val="clear" w:color="auto" w:fill="0070C0"/>
          </w:tcPr>
          <w:p w14:paraId="1B153116" w14:textId="4A0AECEB" w:rsidR="00414095" w:rsidRPr="00C80F8E" w:rsidRDefault="00414095" w:rsidP="00DB69D9">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535CA4" w:rsidRPr="00C80F8E">
              <w:rPr>
                <w:rFonts w:ascii="Abadi" w:hAnsi="Abadi" w:cstheme="minorHAnsi"/>
                <w:b/>
                <w:bCs/>
                <w:color w:val="FFFFFF" w:themeColor="background1"/>
                <w:sz w:val="20"/>
                <w:szCs w:val="20"/>
                <w:lang w:val="es-ES_tradnl"/>
              </w:rPr>
              <w:t>4</w:t>
            </w:r>
          </w:p>
        </w:tc>
      </w:tr>
      <w:tr w:rsidR="009918CA" w:rsidRPr="00C80F8E" w14:paraId="255C84FD" w14:textId="77777777" w:rsidTr="00DB69D9">
        <w:tc>
          <w:tcPr>
            <w:tcW w:w="4891" w:type="dxa"/>
            <w:tcBorders>
              <w:right w:val="single" w:sz="2" w:space="0" w:color="auto"/>
            </w:tcBorders>
          </w:tcPr>
          <w:p w14:paraId="484E011E" w14:textId="0C42DD22" w:rsidR="00414095" w:rsidRPr="00C80F8E" w:rsidRDefault="000D2F23" w:rsidP="00DB69D9">
            <w:pPr>
              <w:jc w:val="both"/>
              <w:rPr>
                <w:rFonts w:ascii="Abadi" w:hAnsi="Abadi" w:cstheme="minorHAnsi"/>
                <w:sz w:val="20"/>
                <w:szCs w:val="20"/>
                <w:lang w:val="es-ES_tradnl"/>
              </w:rPr>
            </w:pPr>
            <w:r w:rsidRPr="00C80F8E">
              <w:rPr>
                <w:rFonts w:ascii="Abadi" w:hAnsi="Abadi" w:cstheme="minorHAnsi"/>
                <w:iCs/>
                <w:sz w:val="20"/>
                <w:szCs w:val="20"/>
                <w:lang w:val="es-ES_tradnl"/>
              </w:rPr>
              <w:t xml:space="preserve">Fondos de Terceros </w:t>
            </w:r>
            <w:proofErr w:type="spellStart"/>
            <w:r w:rsidRPr="00C80F8E">
              <w:rPr>
                <w:rFonts w:ascii="Abadi" w:hAnsi="Abadi" w:cstheme="minorHAnsi"/>
                <w:iCs/>
                <w:sz w:val="20"/>
                <w:szCs w:val="20"/>
                <w:lang w:val="es-ES_tradnl"/>
              </w:rPr>
              <w:t>CCRyLI</w:t>
            </w:r>
            <w:proofErr w:type="spellEnd"/>
          </w:p>
        </w:tc>
        <w:tc>
          <w:tcPr>
            <w:tcW w:w="2268" w:type="dxa"/>
            <w:tcBorders>
              <w:top w:val="single" w:sz="2" w:space="0" w:color="auto"/>
              <w:left w:val="single" w:sz="2" w:space="0" w:color="auto"/>
              <w:bottom w:val="single" w:sz="2" w:space="0" w:color="auto"/>
              <w:right w:val="single" w:sz="2" w:space="0" w:color="auto"/>
            </w:tcBorders>
          </w:tcPr>
          <w:p w14:paraId="738DBE34" w14:textId="1747846C" w:rsidR="00414095" w:rsidRPr="00C80F8E" w:rsidRDefault="00B0086C" w:rsidP="00DB69D9">
            <w:pPr>
              <w:jc w:val="right"/>
              <w:rPr>
                <w:rFonts w:ascii="Abadi" w:hAnsi="Abadi" w:cstheme="minorHAnsi"/>
                <w:sz w:val="20"/>
                <w:szCs w:val="20"/>
                <w:lang w:val="es-ES_tradnl"/>
              </w:rPr>
            </w:pPr>
            <w:r w:rsidRPr="00C80F8E">
              <w:rPr>
                <w:rFonts w:ascii="Abadi" w:hAnsi="Abadi" w:cstheme="minorHAnsi"/>
                <w:sz w:val="20"/>
                <w:szCs w:val="20"/>
                <w:lang w:val="es-ES_tradnl"/>
              </w:rPr>
              <w:t>834,844.94</w:t>
            </w:r>
          </w:p>
        </w:tc>
        <w:tc>
          <w:tcPr>
            <w:tcW w:w="2125" w:type="dxa"/>
            <w:tcBorders>
              <w:top w:val="single" w:sz="2" w:space="0" w:color="auto"/>
              <w:left w:val="single" w:sz="2" w:space="0" w:color="auto"/>
              <w:bottom w:val="single" w:sz="2" w:space="0" w:color="auto"/>
              <w:right w:val="single" w:sz="2" w:space="0" w:color="auto"/>
            </w:tcBorders>
          </w:tcPr>
          <w:p w14:paraId="1FC6B6B8" w14:textId="36CB0AA6" w:rsidR="00414095" w:rsidRPr="00C80F8E" w:rsidRDefault="00CC3033" w:rsidP="00DB69D9">
            <w:pPr>
              <w:jc w:val="right"/>
              <w:rPr>
                <w:rFonts w:ascii="Abadi" w:hAnsi="Abadi" w:cstheme="minorHAnsi"/>
                <w:sz w:val="20"/>
                <w:szCs w:val="20"/>
                <w:lang w:val="es-ES_tradnl"/>
              </w:rPr>
            </w:pPr>
            <w:r w:rsidRPr="00C80F8E">
              <w:rPr>
                <w:rFonts w:ascii="Abadi" w:hAnsi="Abadi" w:cstheme="minorHAnsi"/>
                <w:sz w:val="20"/>
                <w:szCs w:val="20"/>
                <w:lang w:val="es-ES_tradnl"/>
              </w:rPr>
              <w:t>691</w:t>
            </w:r>
            <w:r w:rsidR="00C3448D" w:rsidRPr="00C80F8E">
              <w:rPr>
                <w:rFonts w:ascii="Abadi" w:hAnsi="Abadi" w:cstheme="minorHAnsi"/>
                <w:sz w:val="20"/>
                <w:szCs w:val="20"/>
                <w:lang w:val="es-ES_tradnl"/>
              </w:rPr>
              <w:t>,</w:t>
            </w:r>
            <w:r w:rsidRPr="00C80F8E">
              <w:rPr>
                <w:rFonts w:ascii="Abadi" w:hAnsi="Abadi" w:cstheme="minorHAnsi"/>
                <w:sz w:val="20"/>
                <w:szCs w:val="20"/>
                <w:lang w:val="es-ES_tradnl"/>
              </w:rPr>
              <w:t>371</w:t>
            </w:r>
            <w:r w:rsidR="00C3448D" w:rsidRPr="00C80F8E">
              <w:rPr>
                <w:rFonts w:ascii="Abadi" w:hAnsi="Abadi" w:cstheme="minorHAnsi"/>
                <w:sz w:val="20"/>
                <w:szCs w:val="20"/>
                <w:lang w:val="es-ES_tradnl"/>
              </w:rPr>
              <w:t>.50</w:t>
            </w:r>
          </w:p>
        </w:tc>
      </w:tr>
      <w:tr w:rsidR="009918CA" w:rsidRPr="00C80F8E" w14:paraId="18029286" w14:textId="77777777" w:rsidTr="00DB69D9">
        <w:tc>
          <w:tcPr>
            <w:tcW w:w="4891" w:type="dxa"/>
          </w:tcPr>
          <w:p w14:paraId="5A86D037" w14:textId="77777777" w:rsidR="00414095" w:rsidRPr="00C80F8E" w:rsidRDefault="00414095" w:rsidP="00DB69D9">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de provisiones a corto plazo</w:t>
            </w:r>
          </w:p>
        </w:tc>
        <w:tc>
          <w:tcPr>
            <w:tcW w:w="2268" w:type="dxa"/>
            <w:tcBorders>
              <w:top w:val="single" w:sz="12" w:space="0" w:color="auto"/>
              <w:bottom w:val="double" w:sz="4" w:space="0" w:color="auto"/>
            </w:tcBorders>
          </w:tcPr>
          <w:p w14:paraId="00EEC366" w14:textId="2AEC6781" w:rsidR="00414095" w:rsidRPr="00C80F8E" w:rsidRDefault="00B0086C" w:rsidP="004826DB">
            <w:pPr>
              <w:jc w:val="right"/>
              <w:rPr>
                <w:rFonts w:ascii="Abadi" w:hAnsi="Abadi" w:cstheme="minorHAnsi"/>
                <w:b/>
                <w:bCs/>
                <w:sz w:val="20"/>
                <w:szCs w:val="20"/>
                <w:lang w:val="es-ES_tradnl"/>
              </w:rPr>
            </w:pPr>
            <w:r w:rsidRPr="00C80F8E">
              <w:rPr>
                <w:rFonts w:ascii="Abadi" w:hAnsi="Abadi" w:cstheme="minorHAnsi"/>
                <w:b/>
                <w:bCs/>
                <w:sz w:val="20"/>
                <w:szCs w:val="20"/>
                <w:lang w:val="es-ES_tradnl"/>
              </w:rPr>
              <w:t>834,844.94</w:t>
            </w:r>
          </w:p>
        </w:tc>
        <w:tc>
          <w:tcPr>
            <w:tcW w:w="2125" w:type="dxa"/>
            <w:tcBorders>
              <w:top w:val="single" w:sz="12" w:space="0" w:color="auto"/>
              <w:bottom w:val="double" w:sz="4" w:space="0" w:color="auto"/>
            </w:tcBorders>
          </w:tcPr>
          <w:p w14:paraId="62CAC55E" w14:textId="2C904C47" w:rsidR="00414095" w:rsidRPr="00C80F8E" w:rsidRDefault="00C3448D" w:rsidP="00DB69D9">
            <w:pPr>
              <w:jc w:val="right"/>
              <w:rPr>
                <w:rFonts w:ascii="Abadi" w:hAnsi="Abadi" w:cstheme="minorHAnsi"/>
                <w:b/>
                <w:bCs/>
                <w:sz w:val="20"/>
                <w:szCs w:val="20"/>
                <w:lang w:val="es-ES_tradnl"/>
              </w:rPr>
            </w:pPr>
            <w:r w:rsidRPr="00C80F8E">
              <w:rPr>
                <w:rFonts w:ascii="Abadi" w:hAnsi="Abadi" w:cstheme="minorHAnsi"/>
                <w:b/>
                <w:bCs/>
                <w:sz w:val="20"/>
                <w:szCs w:val="20"/>
                <w:lang w:val="es-ES_tradnl"/>
              </w:rPr>
              <w:t>691,371.50</w:t>
            </w:r>
          </w:p>
        </w:tc>
      </w:tr>
    </w:tbl>
    <w:p w14:paraId="77C461FD" w14:textId="77777777" w:rsidR="00261262" w:rsidRDefault="00261262" w:rsidP="00261262">
      <w:pPr>
        <w:spacing w:line="240" w:lineRule="auto"/>
        <w:contextualSpacing/>
        <w:jc w:val="both"/>
        <w:rPr>
          <w:rFonts w:ascii="Abadi" w:hAnsi="Abadi" w:cstheme="minorHAnsi"/>
          <w:b/>
          <w:iCs/>
          <w:sz w:val="20"/>
          <w:szCs w:val="20"/>
          <w:lang w:val="es-ES_tradnl" w:eastAsia="es-ES"/>
        </w:rPr>
      </w:pPr>
    </w:p>
    <w:p w14:paraId="0CF13F2C" w14:textId="0B027162" w:rsidR="00C476EC" w:rsidRPr="00C80F8E" w:rsidRDefault="00C476EC" w:rsidP="00C476EC">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eastAsia="es-ES"/>
        </w:rPr>
        <w:t>1</w:t>
      </w:r>
      <w:r w:rsidR="00D0084F" w:rsidRPr="00C80F8E">
        <w:rPr>
          <w:rFonts w:ascii="Abadi" w:hAnsi="Abadi" w:cstheme="minorHAnsi"/>
          <w:b/>
          <w:iCs/>
          <w:sz w:val="20"/>
          <w:szCs w:val="20"/>
          <w:lang w:val="es-ES_tradnl" w:eastAsia="es-ES"/>
        </w:rPr>
        <w:t>7</w:t>
      </w:r>
      <w:r w:rsidR="00CB188C" w:rsidRPr="00C80F8E">
        <w:rPr>
          <w:rFonts w:ascii="Abadi" w:hAnsi="Abadi" w:cstheme="minorHAnsi"/>
          <w:b/>
          <w:iCs/>
          <w:sz w:val="20"/>
          <w:szCs w:val="20"/>
          <w:lang w:val="es-ES_tradnl" w:eastAsia="es-ES"/>
        </w:rPr>
        <w:t>.1</w:t>
      </w:r>
      <w:r w:rsidRPr="00C80F8E">
        <w:rPr>
          <w:rFonts w:ascii="Abadi" w:hAnsi="Abadi" w:cstheme="minorHAnsi"/>
          <w:b/>
          <w:iCs/>
          <w:sz w:val="20"/>
          <w:szCs w:val="20"/>
          <w:lang w:val="es-ES_tradnl" w:eastAsia="es-ES"/>
        </w:rPr>
        <w:t xml:space="preserve"> Fondos de Terceros </w:t>
      </w:r>
      <w:r w:rsidRPr="00C80F8E">
        <w:rPr>
          <w:rFonts w:ascii="Abadi" w:hAnsi="Abadi" w:cstheme="minorHAnsi"/>
          <w:b/>
          <w:iCs/>
          <w:sz w:val="20"/>
          <w:szCs w:val="20"/>
          <w:lang w:val="es-ES_tradnl"/>
        </w:rPr>
        <w:t xml:space="preserve">Comisión Clasificadora de Riesgos y Límites de Inversión  </w:t>
      </w:r>
    </w:p>
    <w:p w14:paraId="34B41B0B" w14:textId="0909E59E" w:rsidR="006D0AFA" w:rsidRDefault="00C476EC" w:rsidP="00120B0A">
      <w:pPr>
        <w:spacing w:line="360" w:lineRule="auto"/>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Por recomendación de los Auditores de la Cámara de Cuentas de la República Dominicana, esta cuenta fue incluida en los Estados Financieros de la Superintendencia de Pensiones (SIPEN) a partir del 1 de octubre 2018, en vista de que la misma está registrada bajo la personaría jurídica de la SIPEN.</w:t>
      </w:r>
    </w:p>
    <w:p w14:paraId="6890954F" w14:textId="77777777" w:rsidR="00BC7CC4" w:rsidRDefault="00BC7CC4" w:rsidP="00120B0A">
      <w:pPr>
        <w:spacing w:line="360" w:lineRule="auto"/>
        <w:jc w:val="both"/>
        <w:rPr>
          <w:rFonts w:ascii="Abadi" w:hAnsi="Abadi" w:cstheme="minorHAnsi"/>
          <w:bCs/>
          <w:iCs/>
          <w:sz w:val="20"/>
          <w:szCs w:val="20"/>
          <w:lang w:val="es-ES_tradnl" w:eastAsia="es-ES"/>
        </w:rPr>
      </w:pPr>
    </w:p>
    <w:p w14:paraId="227CCD40" w14:textId="77777777" w:rsidR="00BC7CC4" w:rsidRDefault="00BC7CC4" w:rsidP="00120B0A">
      <w:pPr>
        <w:spacing w:line="360" w:lineRule="auto"/>
        <w:jc w:val="both"/>
        <w:rPr>
          <w:rFonts w:ascii="Abadi" w:hAnsi="Abadi" w:cstheme="minorHAnsi"/>
          <w:bCs/>
          <w:iCs/>
          <w:sz w:val="20"/>
          <w:szCs w:val="20"/>
          <w:lang w:val="es-ES_tradnl" w:eastAsia="es-ES"/>
        </w:rPr>
      </w:pPr>
    </w:p>
    <w:p w14:paraId="700B94C5" w14:textId="77777777" w:rsidR="00BC7CC4" w:rsidRPr="00C80F8E" w:rsidRDefault="00BC7CC4" w:rsidP="00120B0A">
      <w:pPr>
        <w:spacing w:line="360" w:lineRule="auto"/>
        <w:jc w:val="both"/>
        <w:rPr>
          <w:rFonts w:ascii="Abadi" w:hAnsi="Abadi" w:cstheme="minorHAnsi"/>
          <w:bCs/>
          <w:iCs/>
          <w:sz w:val="20"/>
          <w:szCs w:val="20"/>
          <w:lang w:val="es-ES_tradnl" w:eastAsia="es-ES"/>
        </w:rPr>
      </w:pPr>
    </w:p>
    <w:p w14:paraId="440E20AD" w14:textId="77777777" w:rsidR="004107D8" w:rsidRPr="00C80F8E" w:rsidRDefault="00C645D4"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Activos Netos / Patrimonio</w:t>
      </w:r>
    </w:p>
    <w:p w14:paraId="6D0859A6" w14:textId="77777777" w:rsidR="009A74B7" w:rsidRPr="00C80F8E" w:rsidRDefault="00524B4E" w:rsidP="00524B4E">
      <w:pPr>
        <w:rPr>
          <w:rFonts w:ascii="Abadi" w:hAnsi="Abadi" w:cstheme="minorHAnsi"/>
          <w:b/>
          <w:sz w:val="20"/>
          <w:szCs w:val="20"/>
          <w:lang w:val="es-ES_tradnl"/>
        </w:rPr>
      </w:pPr>
      <w:r w:rsidRPr="00C80F8E">
        <w:rPr>
          <w:rFonts w:ascii="Abadi" w:hAnsi="Abadi" w:cstheme="minorHAnsi"/>
          <w:b/>
          <w:sz w:val="20"/>
          <w:szCs w:val="20"/>
          <w:lang w:val="es-ES_tradnl"/>
        </w:rPr>
        <w:t>C</w:t>
      </w:r>
      <w:r w:rsidR="009A74B7" w:rsidRPr="00C80F8E">
        <w:rPr>
          <w:rFonts w:ascii="Abadi" w:hAnsi="Abadi" w:cstheme="minorHAnsi"/>
          <w:b/>
          <w:sz w:val="20"/>
          <w:szCs w:val="20"/>
          <w:lang w:val="es-ES_tradnl"/>
        </w:rPr>
        <w:t>apital</w:t>
      </w:r>
    </w:p>
    <w:p w14:paraId="37286901" w14:textId="77777777" w:rsidR="00461C40" w:rsidRPr="00C80F8E" w:rsidRDefault="00396D30" w:rsidP="00396D30">
      <w:pPr>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total del patrimonio ascendió a RD$317,566,895.43, en comparación con RD$279,437,891.76 registrados al 30 de junio de 2024. Esta diferencia representa un incremento absoluto de RD$38,129,003.67 y una variación relativa positiva de 13.64%, atribuible principalmente a los resultados acumulados de ejercicios anteriores y al resultado del período corriente.</w:t>
      </w:r>
    </w:p>
    <w:p w14:paraId="7464161C" w14:textId="1F83440F" w:rsidR="004107D8" w:rsidRPr="00C80F8E" w:rsidRDefault="007C1B1D" w:rsidP="00396D30">
      <w:pPr>
        <w:jc w:val="both"/>
        <w:rPr>
          <w:rFonts w:ascii="Abadi" w:hAnsi="Abadi" w:cstheme="minorHAnsi"/>
          <w:bCs/>
          <w:sz w:val="20"/>
          <w:szCs w:val="20"/>
          <w:lang w:val="es-ES_tradnl"/>
        </w:rPr>
      </w:pPr>
      <w:r w:rsidRPr="00C80F8E">
        <w:rPr>
          <w:rFonts w:ascii="Abadi" w:hAnsi="Abadi" w:cstheme="minorHAnsi"/>
          <w:bCs/>
          <w:sz w:val="20"/>
          <w:szCs w:val="20"/>
          <w:lang w:val="es-ES_tradnl"/>
        </w:rPr>
        <w:t>La reserva</w:t>
      </w:r>
      <w:r w:rsidR="00B32080" w:rsidRPr="00C80F8E">
        <w:rPr>
          <w:rFonts w:ascii="Abadi" w:hAnsi="Abadi" w:cstheme="minorHAnsi"/>
          <w:bCs/>
          <w:sz w:val="20"/>
          <w:szCs w:val="20"/>
          <w:lang w:val="es-ES_tradnl"/>
        </w:rPr>
        <w:t xml:space="preserve"> de capital se mantiene sin variación, en RD$9,450,837.65, mientras que los resultados acumulados de períodos anteriores pasaron de RD$195,007,955.48 a RD$283,713,741.23, y los resultados del período disminuyeron de RD$74,979,098.63 en 2024 a RD$24,402,316.55 en 2025, lo que refleja un desempeño financiero </w:t>
      </w:r>
      <w:r w:rsidRPr="00C80F8E">
        <w:rPr>
          <w:rFonts w:ascii="Abadi" w:hAnsi="Abadi" w:cstheme="minorHAnsi"/>
          <w:bCs/>
          <w:sz w:val="20"/>
          <w:szCs w:val="20"/>
          <w:lang w:val="es-ES_tradnl"/>
        </w:rPr>
        <w:t>positivo,</w:t>
      </w:r>
      <w:r w:rsidR="00B32080" w:rsidRPr="00C80F8E">
        <w:rPr>
          <w:rFonts w:ascii="Abadi" w:hAnsi="Abadi" w:cstheme="minorHAnsi"/>
          <w:bCs/>
          <w:sz w:val="20"/>
          <w:szCs w:val="20"/>
          <w:lang w:val="es-ES_tradnl"/>
        </w:rPr>
        <w:t xml:space="preserve"> pero con menor excedente neto en el período </w:t>
      </w:r>
      <w:r w:rsidRPr="00C80F8E">
        <w:rPr>
          <w:rFonts w:ascii="Abadi" w:hAnsi="Abadi" w:cstheme="minorHAnsi"/>
          <w:bCs/>
          <w:sz w:val="20"/>
          <w:szCs w:val="20"/>
          <w:lang w:val="es-ES_tradnl"/>
        </w:rPr>
        <w:t>actual. La</w:t>
      </w:r>
      <w:r w:rsidR="00DE1300" w:rsidRPr="00C80F8E">
        <w:rPr>
          <w:rFonts w:ascii="Abadi" w:hAnsi="Abadi" w:cstheme="minorHAnsi"/>
          <w:bCs/>
          <w:sz w:val="20"/>
          <w:szCs w:val="20"/>
          <w:lang w:val="es-ES_tradnl"/>
        </w:rPr>
        <w:t xml:space="preserve"> composición del capital </w:t>
      </w:r>
      <w:r w:rsidR="00E56556" w:rsidRPr="00C80F8E">
        <w:rPr>
          <w:rFonts w:ascii="Abadi" w:hAnsi="Abadi" w:cstheme="minorHAnsi"/>
          <w:bCs/>
          <w:sz w:val="20"/>
          <w:szCs w:val="20"/>
          <w:lang w:val="es-ES_tradnl"/>
        </w:rPr>
        <w:t>de la</w:t>
      </w:r>
      <w:r w:rsidR="000F7D83" w:rsidRPr="00C80F8E">
        <w:rPr>
          <w:rFonts w:ascii="Abadi" w:hAnsi="Abadi" w:cstheme="minorHAnsi"/>
          <w:bCs/>
          <w:sz w:val="20"/>
          <w:szCs w:val="20"/>
          <w:lang w:val="es-ES_tradnl"/>
        </w:rPr>
        <w:t xml:space="preserve"> Superintendencia</w:t>
      </w:r>
      <w:r w:rsidR="00DE1300" w:rsidRPr="00C80F8E">
        <w:rPr>
          <w:rFonts w:ascii="Abadi" w:hAnsi="Abadi" w:cstheme="minorHAnsi"/>
          <w:bCs/>
          <w:sz w:val="20"/>
          <w:szCs w:val="20"/>
          <w:lang w:val="es-ES_tradnl"/>
        </w:rPr>
        <w:t xml:space="preserve"> es como sigue</w:t>
      </w:r>
      <w:r w:rsidR="004107D8" w:rsidRPr="00C80F8E">
        <w:rPr>
          <w:rFonts w:ascii="Abadi" w:hAnsi="Abadi" w:cstheme="minorHAnsi"/>
          <w:bCs/>
          <w:sz w:val="20"/>
          <w:szCs w:val="20"/>
          <w:lang w:val="es-ES_tradnl"/>
        </w:rPr>
        <w:t>:</w:t>
      </w:r>
    </w:p>
    <w:tbl>
      <w:tblPr>
        <w:tblStyle w:val="Tablaconcuadrcula"/>
        <w:tblW w:w="0" w:type="auto"/>
        <w:tblInd w:w="66" w:type="dxa"/>
        <w:tblLook w:val="04A0" w:firstRow="1" w:lastRow="0" w:firstColumn="1" w:lastColumn="0" w:noHBand="0" w:noVBand="1"/>
      </w:tblPr>
      <w:tblGrid>
        <w:gridCol w:w="4891"/>
        <w:gridCol w:w="2268"/>
        <w:gridCol w:w="2125"/>
      </w:tblGrid>
      <w:tr w:rsidR="006E47C0" w:rsidRPr="00C80F8E" w14:paraId="2DF1361D" w14:textId="77777777" w:rsidTr="006C2D82">
        <w:tc>
          <w:tcPr>
            <w:tcW w:w="4891" w:type="dxa"/>
            <w:shd w:val="clear" w:color="auto" w:fill="0070C0"/>
          </w:tcPr>
          <w:p w14:paraId="3EB12416" w14:textId="77777777" w:rsidR="004107D8" w:rsidRPr="00C80F8E" w:rsidRDefault="004107D8"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2CC239D5" w14:textId="6463768A" w:rsidR="004107D8"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D0262E" w:rsidRPr="00C80F8E">
              <w:rPr>
                <w:rFonts w:ascii="Abadi" w:hAnsi="Abadi" w:cstheme="minorHAnsi"/>
                <w:b/>
                <w:bCs/>
                <w:color w:val="FFFFFF" w:themeColor="background1"/>
                <w:sz w:val="20"/>
                <w:szCs w:val="20"/>
                <w:lang w:val="es-ES_tradnl"/>
              </w:rPr>
              <w:t>5</w:t>
            </w:r>
          </w:p>
        </w:tc>
        <w:tc>
          <w:tcPr>
            <w:tcW w:w="2125" w:type="dxa"/>
            <w:shd w:val="clear" w:color="auto" w:fill="0070C0"/>
          </w:tcPr>
          <w:p w14:paraId="3231720D" w14:textId="2F351292" w:rsidR="004107D8" w:rsidRPr="00C80F8E" w:rsidRDefault="00D0262E"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6E47C0" w:rsidRPr="00C80F8E" w14:paraId="2170BE33" w14:textId="77777777" w:rsidTr="00297694">
        <w:tc>
          <w:tcPr>
            <w:tcW w:w="4891" w:type="dxa"/>
          </w:tcPr>
          <w:p w14:paraId="19B5C4C3" w14:textId="1065F9A2" w:rsidR="004107D8" w:rsidRPr="00C80F8E" w:rsidRDefault="002B2C50" w:rsidP="00297694">
            <w:pPr>
              <w:jc w:val="both"/>
              <w:rPr>
                <w:rFonts w:ascii="Abadi" w:hAnsi="Abadi" w:cstheme="minorHAnsi"/>
                <w:sz w:val="20"/>
                <w:szCs w:val="20"/>
                <w:lang w:val="es-ES_tradnl"/>
              </w:rPr>
            </w:pPr>
            <w:r w:rsidRPr="00C80F8E">
              <w:rPr>
                <w:rFonts w:ascii="Abadi" w:hAnsi="Abadi" w:cstheme="minorHAnsi"/>
                <w:sz w:val="20"/>
                <w:szCs w:val="20"/>
                <w:lang w:val="es-ES_tradnl"/>
              </w:rPr>
              <w:t>Capital</w:t>
            </w:r>
          </w:p>
        </w:tc>
        <w:tc>
          <w:tcPr>
            <w:tcW w:w="2268" w:type="dxa"/>
          </w:tcPr>
          <w:p w14:paraId="6D4A3897" w14:textId="1AFBB22C" w:rsidR="004107D8" w:rsidRPr="00C80F8E" w:rsidRDefault="0060598A" w:rsidP="00C705FF">
            <w:pPr>
              <w:jc w:val="right"/>
              <w:rPr>
                <w:rFonts w:ascii="Abadi" w:hAnsi="Abadi" w:cstheme="minorHAnsi"/>
                <w:sz w:val="20"/>
                <w:szCs w:val="20"/>
                <w:lang w:val="es-ES_tradnl"/>
              </w:rPr>
            </w:pPr>
            <w:r w:rsidRPr="00C80F8E">
              <w:rPr>
                <w:rFonts w:ascii="Abadi" w:hAnsi="Abadi" w:cstheme="minorHAnsi"/>
                <w:sz w:val="20"/>
                <w:szCs w:val="20"/>
                <w:lang w:val="es-ES_tradnl"/>
              </w:rPr>
              <w:t>9,450,837.65</w:t>
            </w:r>
          </w:p>
        </w:tc>
        <w:tc>
          <w:tcPr>
            <w:tcW w:w="2125" w:type="dxa"/>
          </w:tcPr>
          <w:p w14:paraId="5369EB32" w14:textId="72FC5645" w:rsidR="004107D8" w:rsidRPr="00C80F8E" w:rsidRDefault="00864516" w:rsidP="00C705FF">
            <w:pPr>
              <w:jc w:val="right"/>
              <w:rPr>
                <w:rFonts w:ascii="Abadi" w:hAnsi="Abadi" w:cstheme="minorHAnsi"/>
                <w:sz w:val="20"/>
                <w:szCs w:val="20"/>
                <w:lang w:val="es-ES_tradnl"/>
              </w:rPr>
            </w:pPr>
            <w:r w:rsidRPr="00C80F8E">
              <w:rPr>
                <w:rFonts w:ascii="Abadi" w:hAnsi="Abadi" w:cstheme="minorHAnsi"/>
                <w:sz w:val="20"/>
                <w:szCs w:val="20"/>
                <w:lang w:val="es-ES_tradnl"/>
              </w:rPr>
              <w:t>9,450,837.65</w:t>
            </w:r>
          </w:p>
        </w:tc>
      </w:tr>
      <w:tr w:rsidR="006E47C0" w:rsidRPr="00C80F8E" w14:paraId="3BEEC0CF" w14:textId="77777777" w:rsidTr="005B05C3">
        <w:tc>
          <w:tcPr>
            <w:tcW w:w="4891" w:type="dxa"/>
          </w:tcPr>
          <w:p w14:paraId="7D3D669E" w14:textId="1C0C804D" w:rsidR="004107D8" w:rsidRPr="00C80F8E" w:rsidRDefault="007665FD" w:rsidP="00297694">
            <w:pPr>
              <w:jc w:val="both"/>
              <w:rPr>
                <w:rFonts w:ascii="Abadi" w:hAnsi="Abadi" w:cstheme="minorHAnsi"/>
                <w:sz w:val="20"/>
                <w:szCs w:val="20"/>
                <w:lang w:val="es-ES_tradnl"/>
              </w:rPr>
            </w:pPr>
            <w:r w:rsidRPr="00C80F8E">
              <w:rPr>
                <w:rFonts w:ascii="Abadi" w:hAnsi="Abadi" w:cstheme="minorHAnsi"/>
                <w:sz w:val="20"/>
                <w:szCs w:val="20"/>
                <w:lang w:val="es-ES_tradnl"/>
              </w:rPr>
              <w:t xml:space="preserve">Resultados </w:t>
            </w:r>
            <w:r w:rsidR="00861957" w:rsidRPr="00C80F8E">
              <w:rPr>
                <w:rFonts w:ascii="Abadi" w:hAnsi="Abadi" w:cstheme="minorHAnsi"/>
                <w:sz w:val="20"/>
                <w:szCs w:val="20"/>
                <w:lang w:val="es-ES_tradnl"/>
              </w:rPr>
              <w:t>Periodos Anteriores</w:t>
            </w:r>
          </w:p>
        </w:tc>
        <w:tc>
          <w:tcPr>
            <w:tcW w:w="2268" w:type="dxa"/>
            <w:tcBorders>
              <w:bottom w:val="single" w:sz="4" w:space="0" w:color="auto"/>
            </w:tcBorders>
          </w:tcPr>
          <w:p w14:paraId="3796AF2A" w14:textId="5BE9BA61" w:rsidR="004107D8" w:rsidRPr="00C80F8E" w:rsidRDefault="000A5907" w:rsidP="00C705FF">
            <w:pPr>
              <w:jc w:val="right"/>
              <w:rPr>
                <w:rFonts w:ascii="Abadi" w:hAnsi="Abadi" w:cstheme="minorHAnsi"/>
                <w:sz w:val="20"/>
                <w:szCs w:val="20"/>
                <w:lang w:val="es-ES_tradnl"/>
              </w:rPr>
            </w:pPr>
            <w:r>
              <w:rPr>
                <w:rFonts w:ascii="Abadi" w:hAnsi="Abadi" w:cstheme="minorHAnsi"/>
                <w:sz w:val="20"/>
                <w:szCs w:val="20"/>
                <w:lang w:val="es-ES_tradnl"/>
              </w:rPr>
              <w:t>278</w:t>
            </w:r>
            <w:r w:rsidR="009A03D8">
              <w:rPr>
                <w:rFonts w:ascii="Abadi" w:hAnsi="Abadi" w:cstheme="minorHAnsi"/>
                <w:sz w:val="20"/>
                <w:szCs w:val="20"/>
                <w:lang w:val="es-ES_tradnl"/>
              </w:rPr>
              <w:t>,268,120.00</w:t>
            </w:r>
          </w:p>
        </w:tc>
        <w:tc>
          <w:tcPr>
            <w:tcW w:w="2125" w:type="dxa"/>
            <w:tcBorders>
              <w:bottom w:val="single" w:sz="4" w:space="0" w:color="auto"/>
            </w:tcBorders>
          </w:tcPr>
          <w:p w14:paraId="2ACAAA29" w14:textId="5DEDA92A" w:rsidR="004107D8" w:rsidRPr="00C80F8E" w:rsidRDefault="00DC62BF" w:rsidP="00C705FF">
            <w:pPr>
              <w:jc w:val="right"/>
              <w:rPr>
                <w:rFonts w:ascii="Abadi" w:hAnsi="Abadi" w:cstheme="minorHAnsi"/>
                <w:sz w:val="20"/>
                <w:szCs w:val="20"/>
                <w:lang w:val="es-ES_tradnl"/>
              </w:rPr>
            </w:pPr>
            <w:r>
              <w:rPr>
                <w:rFonts w:ascii="Abadi" w:hAnsi="Abadi" w:cstheme="minorHAnsi"/>
                <w:sz w:val="20"/>
                <w:szCs w:val="20"/>
                <w:lang w:val="es-ES_tradnl"/>
              </w:rPr>
              <w:t>196</w:t>
            </w:r>
            <w:r w:rsidR="00EC7999">
              <w:rPr>
                <w:rFonts w:ascii="Abadi" w:hAnsi="Abadi" w:cstheme="minorHAnsi"/>
                <w:sz w:val="20"/>
                <w:szCs w:val="20"/>
                <w:lang w:val="es-ES_tradnl"/>
              </w:rPr>
              <w:t>,035,891</w:t>
            </w:r>
          </w:p>
        </w:tc>
      </w:tr>
      <w:tr w:rsidR="00110EF8" w:rsidRPr="00C80F8E" w14:paraId="0BDCECE3" w14:textId="77777777" w:rsidTr="005B05C3">
        <w:tc>
          <w:tcPr>
            <w:tcW w:w="4891" w:type="dxa"/>
          </w:tcPr>
          <w:p w14:paraId="58B68D3C" w14:textId="73826432" w:rsidR="00110EF8" w:rsidRPr="00C80F8E" w:rsidRDefault="00110EF8" w:rsidP="00297694">
            <w:pPr>
              <w:jc w:val="both"/>
              <w:rPr>
                <w:rFonts w:ascii="Abadi" w:hAnsi="Abadi" w:cstheme="minorHAnsi"/>
                <w:sz w:val="20"/>
                <w:szCs w:val="20"/>
                <w:lang w:val="es-ES_tradnl"/>
              </w:rPr>
            </w:pPr>
            <w:r>
              <w:rPr>
                <w:rFonts w:ascii="Abadi" w:hAnsi="Abadi" w:cstheme="minorHAnsi"/>
                <w:sz w:val="20"/>
                <w:szCs w:val="20"/>
                <w:lang w:val="es-ES_tradnl"/>
              </w:rPr>
              <w:t>Ajuste Periodo</w:t>
            </w:r>
          </w:p>
        </w:tc>
        <w:tc>
          <w:tcPr>
            <w:tcW w:w="2268" w:type="dxa"/>
            <w:tcBorders>
              <w:bottom w:val="single" w:sz="4" w:space="0" w:color="auto"/>
            </w:tcBorders>
          </w:tcPr>
          <w:p w14:paraId="6E550D30" w14:textId="11615784" w:rsidR="00110EF8" w:rsidRDefault="003C7B9D" w:rsidP="00C705FF">
            <w:pPr>
              <w:jc w:val="right"/>
              <w:rPr>
                <w:rFonts w:ascii="Abadi" w:hAnsi="Abadi" w:cstheme="minorHAnsi"/>
                <w:sz w:val="20"/>
                <w:szCs w:val="20"/>
                <w:lang w:val="es-ES_tradnl"/>
              </w:rPr>
            </w:pPr>
            <w:r>
              <w:rPr>
                <w:rFonts w:ascii="Abadi" w:hAnsi="Abadi" w:cstheme="minorHAnsi"/>
                <w:sz w:val="20"/>
                <w:szCs w:val="20"/>
                <w:lang w:val="es-ES_tradnl"/>
              </w:rPr>
              <w:t>5,445,621.23</w:t>
            </w:r>
          </w:p>
        </w:tc>
        <w:tc>
          <w:tcPr>
            <w:tcW w:w="2125" w:type="dxa"/>
            <w:tcBorders>
              <w:bottom w:val="single" w:sz="4" w:space="0" w:color="auto"/>
            </w:tcBorders>
          </w:tcPr>
          <w:p w14:paraId="4FE7D4D6" w14:textId="17624C85" w:rsidR="00110EF8" w:rsidRPr="00C80F8E" w:rsidRDefault="00EC7999" w:rsidP="00C705FF">
            <w:pPr>
              <w:jc w:val="right"/>
              <w:rPr>
                <w:rFonts w:ascii="Abadi" w:hAnsi="Abadi" w:cstheme="minorHAnsi"/>
                <w:sz w:val="20"/>
                <w:szCs w:val="20"/>
                <w:lang w:val="es-ES_tradnl"/>
              </w:rPr>
            </w:pPr>
            <w:r>
              <w:rPr>
                <w:rFonts w:ascii="Abadi" w:hAnsi="Abadi" w:cstheme="minorHAnsi"/>
                <w:sz w:val="20"/>
                <w:szCs w:val="20"/>
                <w:lang w:val="es-ES_tradnl"/>
              </w:rPr>
              <w:t>(1,027,935.52)</w:t>
            </w:r>
          </w:p>
        </w:tc>
      </w:tr>
      <w:tr w:rsidR="006E47C0" w:rsidRPr="00C80F8E" w14:paraId="5DE6018E" w14:textId="77777777" w:rsidTr="009855BD">
        <w:tc>
          <w:tcPr>
            <w:tcW w:w="4891" w:type="dxa"/>
          </w:tcPr>
          <w:p w14:paraId="575718CB" w14:textId="6EAFE923" w:rsidR="00EC25C5" w:rsidRPr="00C80F8E" w:rsidRDefault="00EC25C5" w:rsidP="00EC25C5">
            <w:pPr>
              <w:jc w:val="both"/>
              <w:rPr>
                <w:rFonts w:ascii="Abadi" w:hAnsi="Abadi" w:cstheme="minorHAnsi"/>
                <w:sz w:val="20"/>
                <w:szCs w:val="20"/>
                <w:lang w:val="es-ES_tradnl"/>
              </w:rPr>
            </w:pPr>
            <w:r w:rsidRPr="00C80F8E">
              <w:rPr>
                <w:rFonts w:ascii="Abadi" w:hAnsi="Abadi" w:cstheme="minorHAnsi"/>
                <w:sz w:val="20"/>
                <w:szCs w:val="20"/>
                <w:lang w:val="es-ES_tradnl"/>
              </w:rPr>
              <w:t>Resultados del Periodo</w:t>
            </w:r>
          </w:p>
        </w:tc>
        <w:tc>
          <w:tcPr>
            <w:tcW w:w="2268" w:type="dxa"/>
            <w:tcBorders>
              <w:bottom w:val="single" w:sz="12" w:space="0" w:color="auto"/>
            </w:tcBorders>
          </w:tcPr>
          <w:p w14:paraId="435F0321" w14:textId="351C4171" w:rsidR="00EC25C5" w:rsidRPr="00C80F8E" w:rsidRDefault="00124F50" w:rsidP="00EC25C5">
            <w:pPr>
              <w:jc w:val="right"/>
              <w:rPr>
                <w:rFonts w:ascii="Abadi" w:hAnsi="Abadi" w:cstheme="minorHAnsi"/>
                <w:sz w:val="20"/>
                <w:szCs w:val="20"/>
                <w:lang w:val="es-ES_tradnl"/>
              </w:rPr>
            </w:pPr>
            <w:r w:rsidRPr="00C80F8E">
              <w:rPr>
                <w:rFonts w:ascii="Abadi" w:hAnsi="Abadi" w:cstheme="minorHAnsi"/>
                <w:sz w:val="20"/>
                <w:szCs w:val="20"/>
                <w:lang w:val="es-ES_tradnl"/>
              </w:rPr>
              <w:t>24,402,</w:t>
            </w:r>
            <w:r w:rsidR="00620785">
              <w:rPr>
                <w:rFonts w:ascii="Abadi" w:hAnsi="Abadi" w:cstheme="minorHAnsi"/>
                <w:sz w:val="20"/>
                <w:szCs w:val="20"/>
                <w:lang w:val="es-ES_tradnl"/>
              </w:rPr>
              <w:t>4</w:t>
            </w:r>
            <w:r w:rsidRPr="00C80F8E">
              <w:rPr>
                <w:rFonts w:ascii="Abadi" w:hAnsi="Abadi" w:cstheme="minorHAnsi"/>
                <w:sz w:val="20"/>
                <w:szCs w:val="20"/>
                <w:lang w:val="es-ES_tradnl"/>
              </w:rPr>
              <w:t>16.55</w:t>
            </w:r>
          </w:p>
        </w:tc>
        <w:tc>
          <w:tcPr>
            <w:tcW w:w="2125" w:type="dxa"/>
            <w:tcBorders>
              <w:bottom w:val="single" w:sz="12" w:space="0" w:color="auto"/>
            </w:tcBorders>
          </w:tcPr>
          <w:p w14:paraId="2F07EB98" w14:textId="0B235FFB" w:rsidR="00EC25C5" w:rsidRPr="00C80F8E" w:rsidRDefault="001E11D3" w:rsidP="00EC25C5">
            <w:pPr>
              <w:jc w:val="right"/>
              <w:rPr>
                <w:rFonts w:ascii="Abadi" w:hAnsi="Abadi" w:cstheme="minorHAnsi"/>
                <w:sz w:val="20"/>
                <w:szCs w:val="20"/>
                <w:lang w:val="es-ES_tradnl"/>
              </w:rPr>
            </w:pPr>
            <w:r w:rsidRPr="00C80F8E">
              <w:rPr>
                <w:rFonts w:ascii="Abadi" w:hAnsi="Abadi" w:cstheme="minorHAnsi"/>
                <w:sz w:val="20"/>
                <w:szCs w:val="20"/>
                <w:lang w:val="es-ES_tradnl"/>
              </w:rPr>
              <w:t>74</w:t>
            </w:r>
            <w:r w:rsidR="005B05C3" w:rsidRPr="00C80F8E">
              <w:rPr>
                <w:rFonts w:ascii="Abadi" w:hAnsi="Abadi" w:cstheme="minorHAnsi"/>
                <w:sz w:val="20"/>
                <w:szCs w:val="20"/>
                <w:lang w:val="es-ES_tradnl"/>
              </w:rPr>
              <w:t>,979,098.63</w:t>
            </w:r>
          </w:p>
        </w:tc>
      </w:tr>
      <w:tr w:rsidR="006E47C0" w:rsidRPr="00C80F8E" w14:paraId="3F66A370" w14:textId="77777777" w:rsidTr="009F20BF">
        <w:tc>
          <w:tcPr>
            <w:tcW w:w="4891" w:type="dxa"/>
          </w:tcPr>
          <w:p w14:paraId="1A31FEC4" w14:textId="670BBFE0" w:rsidR="00EC25C5" w:rsidRPr="00C80F8E" w:rsidRDefault="00EC25C5" w:rsidP="00EC25C5">
            <w:pPr>
              <w:jc w:val="both"/>
              <w:rPr>
                <w:rFonts w:ascii="Abadi" w:hAnsi="Abadi" w:cstheme="minorHAnsi"/>
                <w:b/>
                <w:bCs/>
                <w:sz w:val="20"/>
                <w:szCs w:val="20"/>
                <w:lang w:val="es-ES_tradnl"/>
              </w:rPr>
            </w:pPr>
            <w:proofErr w:type="gramStart"/>
            <w:r w:rsidRPr="00C80F8E">
              <w:rPr>
                <w:rFonts w:ascii="Abadi" w:hAnsi="Abadi" w:cstheme="minorHAnsi"/>
                <w:b/>
                <w:bCs/>
                <w:sz w:val="20"/>
                <w:szCs w:val="20"/>
                <w:lang w:val="es-ES_tradnl"/>
              </w:rPr>
              <w:t>Total</w:t>
            </w:r>
            <w:proofErr w:type="gramEnd"/>
            <w:r w:rsidRPr="00C80F8E">
              <w:rPr>
                <w:rFonts w:ascii="Abadi" w:hAnsi="Abadi" w:cstheme="minorHAnsi"/>
                <w:b/>
                <w:bCs/>
                <w:sz w:val="20"/>
                <w:szCs w:val="20"/>
                <w:lang w:val="es-ES_tradnl"/>
              </w:rPr>
              <w:t xml:space="preserve"> </w:t>
            </w:r>
            <w:r w:rsidR="009F20BF" w:rsidRPr="00C80F8E">
              <w:rPr>
                <w:rFonts w:ascii="Abadi" w:hAnsi="Abadi" w:cstheme="minorHAnsi"/>
                <w:b/>
                <w:bCs/>
                <w:sz w:val="20"/>
                <w:szCs w:val="20"/>
                <w:lang w:val="es-ES_tradnl"/>
              </w:rPr>
              <w:t>Patrimonio</w:t>
            </w:r>
          </w:p>
        </w:tc>
        <w:tc>
          <w:tcPr>
            <w:tcW w:w="2268" w:type="dxa"/>
            <w:tcBorders>
              <w:top w:val="single" w:sz="12" w:space="0" w:color="auto"/>
              <w:bottom w:val="double" w:sz="4" w:space="0" w:color="auto"/>
            </w:tcBorders>
          </w:tcPr>
          <w:p w14:paraId="0B07692B" w14:textId="50988627" w:rsidR="00EC25C5" w:rsidRPr="00C80F8E" w:rsidRDefault="003C7B9D" w:rsidP="00EC25C5">
            <w:pPr>
              <w:jc w:val="right"/>
              <w:rPr>
                <w:rFonts w:ascii="Abadi" w:hAnsi="Abadi" w:cstheme="minorHAnsi"/>
                <w:b/>
                <w:bCs/>
                <w:sz w:val="20"/>
                <w:szCs w:val="20"/>
                <w:lang w:val="es-ES_tradnl"/>
              </w:rPr>
            </w:pPr>
            <w:r>
              <w:rPr>
                <w:rFonts w:ascii="Abadi" w:hAnsi="Abadi" w:cstheme="minorHAnsi"/>
                <w:b/>
                <w:bCs/>
                <w:sz w:val="20"/>
                <w:szCs w:val="20"/>
                <w:lang w:val="es-ES_tradnl"/>
              </w:rPr>
              <w:t>317,566,995.43</w:t>
            </w:r>
          </w:p>
        </w:tc>
        <w:tc>
          <w:tcPr>
            <w:tcW w:w="2125" w:type="dxa"/>
            <w:tcBorders>
              <w:top w:val="single" w:sz="12" w:space="0" w:color="auto"/>
              <w:bottom w:val="double" w:sz="4" w:space="0" w:color="auto"/>
            </w:tcBorders>
          </w:tcPr>
          <w:p w14:paraId="365A406F" w14:textId="5875A161" w:rsidR="003B2F03" w:rsidRPr="00C80F8E" w:rsidRDefault="003B2F03" w:rsidP="003B2F03">
            <w:pPr>
              <w:jc w:val="right"/>
              <w:rPr>
                <w:rFonts w:ascii="Abadi" w:hAnsi="Abadi" w:cstheme="minorHAnsi"/>
                <w:b/>
                <w:bCs/>
                <w:sz w:val="20"/>
                <w:szCs w:val="20"/>
                <w:lang w:val="es-ES_tradnl"/>
              </w:rPr>
            </w:pPr>
            <w:r w:rsidRPr="00C80F8E">
              <w:rPr>
                <w:rFonts w:ascii="Abadi" w:hAnsi="Abadi" w:cstheme="minorHAnsi"/>
                <w:b/>
                <w:bCs/>
                <w:sz w:val="20"/>
                <w:szCs w:val="20"/>
                <w:lang w:val="es-ES_tradnl"/>
              </w:rPr>
              <w:t>279,437,891.76</w:t>
            </w:r>
          </w:p>
        </w:tc>
      </w:tr>
    </w:tbl>
    <w:p w14:paraId="5C2EF09F" w14:textId="77777777" w:rsidR="003B47BA" w:rsidRPr="00282EB1" w:rsidRDefault="003B47BA" w:rsidP="00206674">
      <w:pPr>
        <w:spacing w:line="240" w:lineRule="auto"/>
        <w:contextualSpacing/>
        <w:rPr>
          <w:rFonts w:ascii="Abadi" w:hAnsi="Abadi" w:cstheme="minorHAnsi"/>
          <w:b/>
          <w:sz w:val="16"/>
          <w:szCs w:val="16"/>
          <w:lang w:val="es-ES_tradnl"/>
        </w:rPr>
      </w:pPr>
    </w:p>
    <w:p w14:paraId="3EAC8AAC" w14:textId="77777777" w:rsidR="002630AB" w:rsidRDefault="002630AB" w:rsidP="00261262">
      <w:pPr>
        <w:spacing w:line="240" w:lineRule="auto"/>
        <w:contextualSpacing/>
        <w:jc w:val="both"/>
        <w:rPr>
          <w:rFonts w:ascii="Abadi" w:hAnsi="Abadi" w:cstheme="minorHAnsi"/>
          <w:b/>
          <w:bCs/>
          <w:iCs/>
          <w:sz w:val="20"/>
          <w:szCs w:val="20"/>
          <w:lang w:val="es-ES_tradnl" w:eastAsia="es-ES"/>
        </w:rPr>
      </w:pPr>
      <w:r w:rsidRPr="00C80F8E">
        <w:rPr>
          <w:rFonts w:ascii="Abadi" w:hAnsi="Abadi" w:cstheme="minorHAnsi"/>
          <w:b/>
          <w:bCs/>
          <w:iCs/>
          <w:sz w:val="20"/>
          <w:szCs w:val="20"/>
          <w:lang w:val="es-ES_tradnl" w:eastAsia="es-ES"/>
        </w:rPr>
        <w:t>Reserva de Capital*</w:t>
      </w:r>
    </w:p>
    <w:p w14:paraId="4108B3C2" w14:textId="77777777" w:rsidR="00261262" w:rsidRPr="00261262" w:rsidRDefault="00261262" w:rsidP="00261262">
      <w:pPr>
        <w:spacing w:line="240" w:lineRule="auto"/>
        <w:contextualSpacing/>
        <w:jc w:val="both"/>
        <w:rPr>
          <w:rFonts w:ascii="Abadi" w:hAnsi="Abadi" w:cstheme="minorHAnsi"/>
          <w:b/>
          <w:bCs/>
          <w:iCs/>
          <w:sz w:val="16"/>
          <w:szCs w:val="16"/>
          <w:lang w:val="es-ES_tradnl" w:eastAsia="es-ES"/>
        </w:rPr>
      </w:pPr>
    </w:p>
    <w:p w14:paraId="7C50C265" w14:textId="77777777" w:rsidR="002630AB" w:rsidRDefault="002630AB" w:rsidP="00282EB1">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Creación de Reserva de Capital, equivalente al 5% del total del Patrimonio al 31 de diciembre 2020, según Resolución Administrativa 017-2021 de fecha 29 de octubre 2021 y comunicación DS-1452 de fecha 10 de noviembre 2021.</w:t>
      </w:r>
    </w:p>
    <w:p w14:paraId="189D34BD" w14:textId="77777777" w:rsidR="00282EB1" w:rsidRPr="00282EB1" w:rsidRDefault="00282EB1" w:rsidP="00282EB1">
      <w:pPr>
        <w:spacing w:line="240" w:lineRule="auto"/>
        <w:contextualSpacing/>
        <w:jc w:val="both"/>
        <w:rPr>
          <w:rFonts w:ascii="Abadi" w:hAnsi="Abadi" w:cstheme="minorHAnsi"/>
          <w:bCs/>
          <w:iCs/>
          <w:sz w:val="16"/>
          <w:szCs w:val="16"/>
          <w:lang w:val="es-ES_tradnl" w:eastAsia="es-ES"/>
        </w:rPr>
      </w:pPr>
    </w:p>
    <w:p w14:paraId="140A7925" w14:textId="1009AB59" w:rsidR="00467F11" w:rsidRDefault="00467F11" w:rsidP="00282EB1">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 xml:space="preserve">La base de </w:t>
      </w:r>
      <w:r w:rsidR="008856D6" w:rsidRPr="00C80F8E">
        <w:rPr>
          <w:rFonts w:ascii="Abadi" w:hAnsi="Abadi" w:cstheme="minorHAnsi"/>
          <w:bCs/>
          <w:iCs/>
          <w:sz w:val="20"/>
          <w:szCs w:val="20"/>
          <w:lang w:val="es-ES_tradnl" w:eastAsia="es-ES"/>
        </w:rPr>
        <w:t>cálculo</w:t>
      </w:r>
      <w:r w:rsidRPr="00C80F8E">
        <w:rPr>
          <w:rFonts w:ascii="Abadi" w:hAnsi="Abadi" w:cstheme="minorHAnsi"/>
          <w:bCs/>
          <w:iCs/>
          <w:sz w:val="20"/>
          <w:szCs w:val="20"/>
          <w:lang w:val="es-ES_tradnl" w:eastAsia="es-ES"/>
        </w:rPr>
        <w:t xml:space="preserve"> se establece sobre el equivalente al 5% del total de pasivos netos sobre el patrimonio al 31 de diciembre del año 2020, el cual asciende al monto de RD$189,016,753.00, (Ciento ochenta y nueve millones dieciséis mil setecientos cincuenta y tres pesos con 00/100</w:t>
      </w:r>
      <w:r w:rsidR="00686FDB" w:rsidRPr="00C80F8E">
        <w:rPr>
          <w:rFonts w:ascii="Abadi" w:hAnsi="Abadi" w:cstheme="minorHAnsi"/>
          <w:bCs/>
          <w:iCs/>
          <w:sz w:val="20"/>
          <w:szCs w:val="20"/>
          <w:lang w:val="es-ES_tradnl" w:eastAsia="es-ES"/>
        </w:rPr>
        <w:t xml:space="preserve">). </w:t>
      </w:r>
      <w:r w:rsidR="00282EB1">
        <w:rPr>
          <w:rFonts w:ascii="Abadi" w:hAnsi="Abadi" w:cstheme="minorHAnsi"/>
          <w:bCs/>
          <w:iCs/>
          <w:sz w:val="20"/>
          <w:szCs w:val="20"/>
          <w:lang w:val="es-ES_tradnl" w:eastAsia="es-ES"/>
        </w:rPr>
        <w:t>–</w:t>
      </w:r>
    </w:p>
    <w:p w14:paraId="6828EAE5" w14:textId="77777777" w:rsidR="00282EB1" w:rsidRPr="00282EB1" w:rsidRDefault="00282EB1" w:rsidP="00282EB1">
      <w:pPr>
        <w:spacing w:line="240" w:lineRule="auto"/>
        <w:contextualSpacing/>
        <w:jc w:val="both"/>
        <w:rPr>
          <w:rFonts w:ascii="Abadi" w:hAnsi="Abadi" w:cstheme="minorHAnsi"/>
          <w:bCs/>
          <w:iCs/>
          <w:sz w:val="16"/>
          <w:szCs w:val="16"/>
          <w:lang w:val="es-ES_tradnl" w:eastAsia="es-ES"/>
        </w:rPr>
      </w:pPr>
    </w:p>
    <w:p w14:paraId="0E419742" w14:textId="0E100BF8" w:rsidR="00467F11" w:rsidRDefault="00467F11" w:rsidP="00282EB1">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Registrado como Reserva de Capital el monto de RD$9,450,837.65 (Nueve millones cuatrocientos cincuenta mil ochocientos treinta y siete pesos con 65/100), teniendo esta cuenta como contrapartida la cuenta de Resultados de Periodos Anteriores.</w:t>
      </w:r>
    </w:p>
    <w:p w14:paraId="74D88A18" w14:textId="77777777" w:rsidR="00282EB1" w:rsidRPr="00282EB1" w:rsidRDefault="00282EB1" w:rsidP="00282EB1">
      <w:pPr>
        <w:spacing w:line="240" w:lineRule="auto"/>
        <w:contextualSpacing/>
        <w:jc w:val="both"/>
        <w:rPr>
          <w:rFonts w:ascii="Abadi" w:hAnsi="Abadi" w:cstheme="minorHAnsi"/>
          <w:bCs/>
          <w:iCs/>
          <w:sz w:val="16"/>
          <w:szCs w:val="16"/>
          <w:lang w:val="es-ES_tradnl" w:eastAsia="es-ES"/>
        </w:rPr>
      </w:pPr>
    </w:p>
    <w:p w14:paraId="5470B8F8" w14:textId="77777777" w:rsidR="000B0BEA" w:rsidRPr="00C80F8E" w:rsidRDefault="000B0BEA" w:rsidP="00282EB1">
      <w:pPr>
        <w:spacing w:line="240" w:lineRule="auto"/>
        <w:contextualSpacing/>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La evolución del patrimonio institucional durante el período respondió a los siguientes movimientos:</w:t>
      </w:r>
    </w:p>
    <w:p w14:paraId="0374F0EB" w14:textId="06AF2C95" w:rsidR="000B0BEA" w:rsidRPr="00C80F8E" w:rsidRDefault="000B0BEA" w:rsidP="00A7606E">
      <w:pPr>
        <w:numPr>
          <w:ilvl w:val="0"/>
          <w:numId w:val="4"/>
        </w:numPr>
        <w:spacing w:line="360" w:lineRule="auto"/>
        <w:jc w:val="both"/>
        <w:rPr>
          <w:rFonts w:ascii="Abadi" w:hAnsi="Abadi" w:cstheme="minorHAnsi"/>
          <w:iCs/>
          <w:sz w:val="20"/>
          <w:szCs w:val="20"/>
          <w:lang w:val="es-ES_tradnl" w:eastAsia="es-ES"/>
        </w:rPr>
      </w:pPr>
      <w:r w:rsidRPr="00C80F8E">
        <w:rPr>
          <w:rFonts w:ascii="Abadi" w:hAnsi="Abadi" w:cstheme="minorHAnsi"/>
          <w:iCs/>
          <w:sz w:val="20"/>
          <w:szCs w:val="20"/>
          <w:lang w:val="es-ES_tradnl" w:eastAsia="es-ES"/>
        </w:rPr>
        <w:t>Efecto cambio en resultados acumulados: RD$</w:t>
      </w:r>
      <w:r w:rsidR="00A71C2A">
        <w:rPr>
          <w:rFonts w:ascii="Abadi" w:hAnsi="Abadi" w:cstheme="minorHAnsi"/>
          <w:iCs/>
          <w:sz w:val="20"/>
          <w:szCs w:val="20"/>
          <w:lang w:val="es-ES_tradnl" w:eastAsia="es-ES"/>
        </w:rPr>
        <w:t>645,621.23</w:t>
      </w:r>
      <w:r w:rsidRPr="00C80F8E">
        <w:rPr>
          <w:rFonts w:ascii="Abadi" w:hAnsi="Abadi" w:cstheme="minorHAnsi"/>
          <w:iCs/>
          <w:sz w:val="20"/>
          <w:szCs w:val="20"/>
          <w:lang w:val="es-ES_tradnl" w:eastAsia="es-ES"/>
        </w:rPr>
        <w:t>, correspondiente a reclasificaciones contables registradas en enero de 2025, asociadas a diferencias identificadas en ahorros acumulados y su correcta presentación dentro del patrimonio institucional.</w:t>
      </w:r>
    </w:p>
    <w:p w14:paraId="384B0D49" w14:textId="41C2D0CD" w:rsidR="000B0BEA" w:rsidRPr="00C80F8E" w:rsidRDefault="000B0BEA" w:rsidP="00A7606E">
      <w:pPr>
        <w:numPr>
          <w:ilvl w:val="0"/>
          <w:numId w:val="4"/>
        </w:numPr>
        <w:spacing w:line="360" w:lineRule="auto"/>
        <w:jc w:val="both"/>
        <w:rPr>
          <w:rFonts w:ascii="Abadi" w:hAnsi="Abadi" w:cstheme="minorHAnsi"/>
          <w:iCs/>
          <w:sz w:val="20"/>
          <w:szCs w:val="20"/>
          <w:lang w:val="es-ES_tradnl" w:eastAsia="es-ES"/>
        </w:rPr>
      </w:pPr>
      <w:r w:rsidRPr="00C80F8E">
        <w:rPr>
          <w:rFonts w:ascii="Abadi" w:hAnsi="Abadi" w:cstheme="minorHAnsi"/>
          <w:iCs/>
          <w:sz w:val="20"/>
          <w:szCs w:val="20"/>
          <w:lang w:val="es-ES_tradnl" w:eastAsia="es-ES"/>
        </w:rPr>
        <w:t>Ajuste al resultado del período: RD$4,800,000.00, correspondiente a la constitución de provisiones por prestaciones económicas no ejecutadas ni provisionadas adecuadamente en el ejercicio.</w:t>
      </w:r>
    </w:p>
    <w:p w14:paraId="32497FEA" w14:textId="3CDB3D13" w:rsidR="000B0BEA" w:rsidRPr="00C80F8E" w:rsidRDefault="000B0BEA" w:rsidP="00A7606E">
      <w:pPr>
        <w:numPr>
          <w:ilvl w:val="0"/>
          <w:numId w:val="4"/>
        </w:numPr>
        <w:spacing w:line="360" w:lineRule="auto"/>
        <w:jc w:val="both"/>
        <w:rPr>
          <w:rFonts w:ascii="Abadi" w:hAnsi="Abadi" w:cstheme="minorHAnsi"/>
          <w:iCs/>
          <w:sz w:val="20"/>
          <w:szCs w:val="20"/>
          <w:lang w:val="es-ES_tradnl" w:eastAsia="es-ES"/>
        </w:rPr>
      </w:pPr>
      <w:r w:rsidRPr="00C80F8E">
        <w:rPr>
          <w:rFonts w:ascii="Abadi" w:hAnsi="Abadi" w:cstheme="minorHAnsi"/>
          <w:iCs/>
          <w:sz w:val="20"/>
          <w:szCs w:val="20"/>
          <w:lang w:val="es-ES_tradnl" w:eastAsia="es-ES"/>
        </w:rPr>
        <w:t>Resultado del período: RD$24,402,416.55, correspondiente al excedente neto generado por las operaciones corrientes del ejercicio fiscal 2025.</w:t>
      </w:r>
    </w:p>
    <w:p w14:paraId="7E088D79" w14:textId="36148A2F" w:rsidR="001B4113" w:rsidRPr="00C80F8E" w:rsidRDefault="001A322D" w:rsidP="00801645">
      <w:pPr>
        <w:rPr>
          <w:rFonts w:ascii="Abadi" w:hAnsi="Abadi" w:cstheme="minorHAnsi"/>
          <w:b/>
          <w:sz w:val="20"/>
          <w:szCs w:val="20"/>
          <w:lang w:val="es-ES_tradnl"/>
        </w:rPr>
      </w:pPr>
      <w:r w:rsidRPr="00C80F8E">
        <w:rPr>
          <w:rFonts w:ascii="Abadi" w:hAnsi="Abadi" w:cstheme="minorHAnsi"/>
          <w:b/>
          <w:sz w:val="20"/>
          <w:szCs w:val="20"/>
          <w:lang w:val="es-ES_tradnl"/>
        </w:rPr>
        <w:br w:type="page"/>
      </w:r>
    </w:p>
    <w:p w14:paraId="7C4F64A6" w14:textId="77777777" w:rsidR="00801645" w:rsidRPr="00C80F8E" w:rsidRDefault="00801645" w:rsidP="005458A6">
      <w:pPr>
        <w:spacing w:line="360" w:lineRule="auto"/>
        <w:jc w:val="both"/>
        <w:rPr>
          <w:rFonts w:ascii="Abadi" w:hAnsi="Abadi" w:cstheme="minorHAnsi"/>
          <w:b/>
          <w:iCs/>
          <w:sz w:val="20"/>
          <w:szCs w:val="20"/>
          <w:lang w:val="es-ES_tradnl"/>
        </w:rPr>
      </w:pPr>
    </w:p>
    <w:p w14:paraId="2CD58907" w14:textId="4D060DE2" w:rsidR="005458A6" w:rsidRPr="00C80F8E" w:rsidRDefault="005458A6" w:rsidP="005458A6">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ESTADO DE RESULTADOS</w:t>
      </w:r>
    </w:p>
    <w:p w14:paraId="375D2251" w14:textId="39D69D77" w:rsidR="005458A6" w:rsidRPr="00C80F8E" w:rsidRDefault="005458A6" w:rsidP="002A3600">
      <w:pPr>
        <w:spacing w:line="240" w:lineRule="auto"/>
        <w:contextualSpacing/>
        <w:jc w:val="both"/>
        <w:rPr>
          <w:rFonts w:ascii="Abadi" w:hAnsi="Abadi" w:cstheme="minorHAnsi"/>
          <w:b/>
          <w:iCs/>
          <w:sz w:val="20"/>
          <w:szCs w:val="20"/>
          <w:lang w:val="es-ES_tradnl"/>
        </w:rPr>
      </w:pPr>
      <w:r w:rsidRPr="00C80F8E">
        <w:rPr>
          <w:rFonts w:ascii="Abadi" w:hAnsi="Abadi" w:cstheme="minorHAnsi"/>
          <w:b/>
          <w:iCs/>
          <w:sz w:val="20"/>
          <w:szCs w:val="20"/>
          <w:lang w:val="es-ES_tradnl"/>
        </w:rPr>
        <w:t>INGRESOS CORRIENTES</w:t>
      </w:r>
    </w:p>
    <w:p w14:paraId="4352BCCE" w14:textId="77777777" w:rsidR="005D0746" w:rsidRPr="00C80F8E" w:rsidRDefault="005D0746"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Transferencias y donaciones</w:t>
      </w:r>
    </w:p>
    <w:p w14:paraId="0AFA4C1B" w14:textId="0D756557" w:rsidR="005458A6" w:rsidRPr="00C80F8E" w:rsidRDefault="005458A6" w:rsidP="00203AF2">
      <w:pPr>
        <w:spacing w:line="240" w:lineRule="auto"/>
        <w:contextualSpacing/>
        <w:jc w:val="both"/>
        <w:rPr>
          <w:rFonts w:ascii="Abadi" w:hAnsi="Abadi" w:cstheme="minorHAnsi"/>
          <w:b/>
          <w:iCs/>
          <w:sz w:val="20"/>
          <w:szCs w:val="20"/>
          <w:lang w:val="es-ES_tradnl"/>
        </w:rPr>
      </w:pPr>
      <w:r w:rsidRPr="00C80F8E">
        <w:rPr>
          <w:rFonts w:ascii="Abadi" w:hAnsi="Abadi" w:cstheme="minorHAnsi"/>
          <w:b/>
          <w:iCs/>
          <w:sz w:val="20"/>
          <w:szCs w:val="20"/>
          <w:lang w:val="es-ES_tradnl"/>
        </w:rPr>
        <w:t>Contribuciones de la Seguridad Social:</w:t>
      </w:r>
    </w:p>
    <w:p w14:paraId="7A0B56BC" w14:textId="77777777" w:rsidR="00C12D60" w:rsidRPr="00C80F8E" w:rsidRDefault="00C12D60" w:rsidP="00203AF2">
      <w:pPr>
        <w:spacing w:line="240" w:lineRule="auto"/>
        <w:contextualSpacing/>
        <w:jc w:val="both"/>
        <w:rPr>
          <w:rFonts w:ascii="Abadi" w:hAnsi="Abadi" w:cstheme="minorHAnsi"/>
          <w:b/>
          <w:iCs/>
          <w:sz w:val="20"/>
          <w:szCs w:val="20"/>
          <w:lang w:val="es-ES_tradnl"/>
        </w:rPr>
      </w:pPr>
    </w:p>
    <w:p w14:paraId="3F4650A5" w14:textId="3C312B0A" w:rsidR="005458A6" w:rsidRPr="00C80F8E" w:rsidRDefault="005458A6" w:rsidP="005458A6">
      <w:pPr>
        <w:spacing w:line="360" w:lineRule="auto"/>
        <w:jc w:val="both"/>
        <w:rPr>
          <w:rFonts w:ascii="Abadi" w:hAnsi="Abadi" w:cstheme="minorHAnsi"/>
          <w:iCs/>
          <w:sz w:val="20"/>
          <w:szCs w:val="20"/>
          <w:lang w:val="es-ES_tradnl"/>
        </w:rPr>
      </w:pPr>
      <w:r w:rsidRPr="00C80F8E">
        <w:rPr>
          <w:rFonts w:ascii="Abadi" w:hAnsi="Abadi" w:cstheme="minorHAnsi"/>
          <w:iCs/>
          <w:sz w:val="20"/>
          <w:szCs w:val="20"/>
          <w:lang w:val="es-ES_tradnl"/>
        </w:rPr>
        <w:t xml:space="preserve">Los Ingresos por Contribuciones de la Seguridad Social corresponden al 0.07% de las cotizaciones de los empleadores y empleados al Sistema de Seguridad Social conforme lo establece la Ley 87-01, está compuesto por el aporte del empleador, equivalente al 7.10% de las recaudaciones y el aporte Empleado equivalente al 2.87% de las recaudaciones. </w:t>
      </w:r>
      <w:r w:rsidR="0060237B" w:rsidRPr="00C80F8E">
        <w:rPr>
          <w:rFonts w:ascii="Abadi" w:hAnsi="Abadi" w:cstheme="minorHAnsi"/>
          <w:iCs/>
          <w:sz w:val="20"/>
          <w:szCs w:val="20"/>
          <w:lang w:val="es-ES_tradnl"/>
        </w:rPr>
        <w:t>Al 30 de junio de 2025, los ingresos totales por contribuciones ascendieron a RD$353,764,746.35, en comparación con RD$325,633,545.37 registrados al 30 de junio de 2024. Esta diferencia representa un incremento absoluto de RD$28,131,200.98 y una variación relativa positiva de 8.64%, reflejando un crecimiento sostenido en las recaudaciones provenientes de las aportaciones al sistema.</w:t>
      </w:r>
    </w:p>
    <w:tbl>
      <w:tblPr>
        <w:tblStyle w:val="Tablaconcuadrcula"/>
        <w:tblW w:w="0" w:type="auto"/>
        <w:tblLook w:val="04A0" w:firstRow="1" w:lastRow="0" w:firstColumn="1" w:lastColumn="0" w:noHBand="0" w:noVBand="1"/>
      </w:tblPr>
      <w:tblGrid>
        <w:gridCol w:w="3235"/>
        <w:gridCol w:w="1684"/>
        <w:gridCol w:w="1684"/>
        <w:gridCol w:w="1563"/>
        <w:gridCol w:w="1184"/>
      </w:tblGrid>
      <w:tr w:rsidR="00040AC6" w:rsidRPr="00C80F8E" w14:paraId="5F642AA0" w14:textId="77777777" w:rsidTr="006C2D82">
        <w:tc>
          <w:tcPr>
            <w:tcW w:w="3823" w:type="dxa"/>
            <w:vMerge w:val="restart"/>
            <w:shd w:val="clear" w:color="auto" w:fill="0070C0"/>
          </w:tcPr>
          <w:p w14:paraId="774B8D6E" w14:textId="29CD4EA8" w:rsidR="00040AC6" w:rsidRPr="00C80F8E" w:rsidRDefault="000E00D3" w:rsidP="000E00D3">
            <w:pPr>
              <w:jc w:val="center"/>
              <w:rPr>
                <w:rFonts w:ascii="Abadi" w:hAnsi="Abadi" w:cstheme="minorHAnsi"/>
                <w:b/>
                <w:color w:val="FFFFFF" w:themeColor="background1"/>
                <w:sz w:val="20"/>
                <w:szCs w:val="20"/>
                <w:lang w:val="es-ES_tradnl"/>
              </w:rPr>
            </w:pPr>
            <w:r w:rsidRPr="00C80F8E">
              <w:rPr>
                <w:rFonts w:ascii="Abadi" w:hAnsi="Abadi" w:cstheme="minorHAnsi"/>
                <w:b/>
                <w:color w:val="FFFFFF" w:themeColor="background1"/>
                <w:sz w:val="20"/>
                <w:szCs w:val="20"/>
                <w:lang w:val="es-ES_tradnl"/>
              </w:rPr>
              <w:t>Concepto</w:t>
            </w:r>
          </w:p>
        </w:tc>
        <w:tc>
          <w:tcPr>
            <w:tcW w:w="2835" w:type="dxa"/>
            <w:gridSpan w:val="2"/>
            <w:shd w:val="clear" w:color="auto" w:fill="0070C0"/>
          </w:tcPr>
          <w:p w14:paraId="78EC85F7" w14:textId="5EC99980" w:rsidR="00040AC6" w:rsidRPr="00C80F8E" w:rsidRDefault="000E00D3" w:rsidP="000E00D3">
            <w:pPr>
              <w:jc w:val="center"/>
              <w:rPr>
                <w:rFonts w:ascii="Abadi" w:hAnsi="Abadi" w:cstheme="minorHAnsi"/>
                <w:b/>
                <w:color w:val="FFFFFF" w:themeColor="background1"/>
                <w:sz w:val="20"/>
                <w:szCs w:val="20"/>
                <w:lang w:val="es-ES_tradnl"/>
              </w:rPr>
            </w:pPr>
            <w:r w:rsidRPr="00C80F8E">
              <w:rPr>
                <w:rFonts w:ascii="Abadi" w:hAnsi="Abadi" w:cstheme="minorHAnsi"/>
                <w:b/>
                <w:color w:val="FFFFFF" w:themeColor="background1"/>
                <w:sz w:val="20"/>
                <w:szCs w:val="20"/>
                <w:lang w:val="es-ES_tradnl"/>
              </w:rPr>
              <w:t>Ingresos</w:t>
            </w:r>
          </w:p>
        </w:tc>
        <w:tc>
          <w:tcPr>
            <w:tcW w:w="2692" w:type="dxa"/>
            <w:gridSpan w:val="2"/>
            <w:shd w:val="clear" w:color="auto" w:fill="0070C0"/>
          </w:tcPr>
          <w:p w14:paraId="33264CFC" w14:textId="3E46EF66" w:rsidR="00040AC6" w:rsidRPr="00C80F8E" w:rsidRDefault="000E00D3" w:rsidP="000E00D3">
            <w:pPr>
              <w:jc w:val="center"/>
              <w:rPr>
                <w:rFonts w:ascii="Abadi" w:hAnsi="Abadi" w:cstheme="minorHAnsi"/>
                <w:b/>
                <w:color w:val="FFFFFF" w:themeColor="background1"/>
                <w:sz w:val="20"/>
                <w:szCs w:val="20"/>
                <w:lang w:val="es-ES_tradnl"/>
              </w:rPr>
            </w:pPr>
            <w:r w:rsidRPr="00C80F8E">
              <w:rPr>
                <w:rFonts w:ascii="Abadi" w:hAnsi="Abadi" w:cstheme="minorHAnsi"/>
                <w:b/>
                <w:color w:val="FFFFFF" w:themeColor="background1"/>
                <w:sz w:val="20"/>
                <w:szCs w:val="20"/>
                <w:lang w:val="es-ES_tradnl"/>
              </w:rPr>
              <w:t>Variaciones</w:t>
            </w:r>
          </w:p>
        </w:tc>
      </w:tr>
      <w:tr w:rsidR="00043574" w:rsidRPr="00C80F8E" w14:paraId="01341038" w14:textId="77777777" w:rsidTr="006C2D82">
        <w:tc>
          <w:tcPr>
            <w:tcW w:w="3823" w:type="dxa"/>
            <w:vMerge/>
            <w:shd w:val="clear" w:color="auto" w:fill="0070C0"/>
          </w:tcPr>
          <w:p w14:paraId="7788DB09" w14:textId="77777777" w:rsidR="00040AC6" w:rsidRPr="00C80F8E" w:rsidRDefault="00040AC6" w:rsidP="001A322D">
            <w:pPr>
              <w:rPr>
                <w:rFonts w:ascii="Abadi" w:hAnsi="Abadi" w:cstheme="minorHAnsi"/>
                <w:b/>
                <w:color w:val="FFFFFF" w:themeColor="background1"/>
                <w:sz w:val="20"/>
                <w:szCs w:val="20"/>
                <w:lang w:val="es-ES_tradnl"/>
              </w:rPr>
            </w:pPr>
          </w:p>
        </w:tc>
        <w:tc>
          <w:tcPr>
            <w:tcW w:w="1417" w:type="dxa"/>
            <w:shd w:val="clear" w:color="auto" w:fill="0070C0"/>
          </w:tcPr>
          <w:p w14:paraId="5847E1E1" w14:textId="2A4106F3" w:rsidR="00040AC6" w:rsidRPr="00C80F8E" w:rsidRDefault="000E00D3" w:rsidP="00B24474">
            <w:pPr>
              <w:jc w:val="center"/>
              <w:rPr>
                <w:rFonts w:ascii="Abadi" w:hAnsi="Abadi" w:cstheme="minorHAnsi"/>
                <w:b/>
                <w:color w:val="FFFFFF" w:themeColor="background1"/>
                <w:sz w:val="20"/>
                <w:szCs w:val="20"/>
                <w:lang w:val="es-ES_tradnl"/>
              </w:rPr>
            </w:pPr>
            <w:r w:rsidRPr="00C80F8E">
              <w:rPr>
                <w:rFonts w:ascii="Abadi" w:hAnsi="Abadi" w:cstheme="minorHAnsi"/>
                <w:b/>
                <w:color w:val="FFFFFF" w:themeColor="background1"/>
                <w:sz w:val="20"/>
                <w:szCs w:val="20"/>
                <w:lang w:val="es-ES_tradnl"/>
              </w:rPr>
              <w:t>202</w:t>
            </w:r>
            <w:r w:rsidR="00425500" w:rsidRPr="00C80F8E">
              <w:rPr>
                <w:rFonts w:ascii="Abadi" w:hAnsi="Abadi" w:cstheme="minorHAnsi"/>
                <w:b/>
                <w:color w:val="FFFFFF" w:themeColor="background1"/>
                <w:sz w:val="20"/>
                <w:szCs w:val="20"/>
                <w:lang w:val="es-ES_tradnl"/>
              </w:rPr>
              <w:t>5</w:t>
            </w:r>
          </w:p>
        </w:tc>
        <w:tc>
          <w:tcPr>
            <w:tcW w:w="1418" w:type="dxa"/>
            <w:shd w:val="clear" w:color="auto" w:fill="0070C0"/>
          </w:tcPr>
          <w:p w14:paraId="58B14715" w14:textId="70ED2436" w:rsidR="00040AC6" w:rsidRPr="00C80F8E" w:rsidRDefault="000E00D3" w:rsidP="00B24474">
            <w:pPr>
              <w:jc w:val="center"/>
              <w:rPr>
                <w:rFonts w:ascii="Abadi" w:hAnsi="Abadi" w:cstheme="minorHAnsi"/>
                <w:b/>
                <w:color w:val="FFFFFF" w:themeColor="background1"/>
                <w:sz w:val="20"/>
                <w:szCs w:val="20"/>
                <w:lang w:val="es-ES_tradnl"/>
              </w:rPr>
            </w:pPr>
            <w:r w:rsidRPr="00C80F8E">
              <w:rPr>
                <w:rFonts w:ascii="Abadi" w:hAnsi="Abadi" w:cstheme="minorHAnsi"/>
                <w:b/>
                <w:color w:val="FFFFFF" w:themeColor="background1"/>
                <w:sz w:val="20"/>
                <w:szCs w:val="20"/>
                <w:lang w:val="es-ES_tradnl"/>
              </w:rPr>
              <w:t>202</w:t>
            </w:r>
            <w:r w:rsidR="00425500" w:rsidRPr="00C80F8E">
              <w:rPr>
                <w:rFonts w:ascii="Abadi" w:hAnsi="Abadi" w:cstheme="minorHAnsi"/>
                <w:b/>
                <w:color w:val="FFFFFF" w:themeColor="background1"/>
                <w:sz w:val="20"/>
                <w:szCs w:val="20"/>
                <w:lang w:val="es-ES_tradnl"/>
              </w:rPr>
              <w:t>4</w:t>
            </w:r>
          </w:p>
        </w:tc>
        <w:tc>
          <w:tcPr>
            <w:tcW w:w="1417" w:type="dxa"/>
            <w:shd w:val="clear" w:color="auto" w:fill="0070C0"/>
          </w:tcPr>
          <w:p w14:paraId="2400E25F" w14:textId="0320E388" w:rsidR="00040AC6" w:rsidRPr="00C80F8E" w:rsidRDefault="00B24474" w:rsidP="00B24474">
            <w:pPr>
              <w:jc w:val="center"/>
              <w:rPr>
                <w:rFonts w:ascii="Abadi" w:hAnsi="Abadi" w:cstheme="minorHAnsi"/>
                <w:b/>
                <w:color w:val="FFFFFF" w:themeColor="background1"/>
                <w:sz w:val="20"/>
                <w:szCs w:val="20"/>
                <w:lang w:val="es-ES_tradnl"/>
              </w:rPr>
            </w:pPr>
            <w:r w:rsidRPr="00C80F8E">
              <w:rPr>
                <w:rFonts w:ascii="Abadi" w:hAnsi="Abadi" w:cstheme="minorHAnsi"/>
                <w:b/>
                <w:color w:val="FFFFFF" w:themeColor="background1"/>
                <w:sz w:val="20"/>
                <w:szCs w:val="20"/>
                <w:lang w:val="es-ES_tradnl"/>
              </w:rPr>
              <w:t>Absoluta</w:t>
            </w:r>
          </w:p>
        </w:tc>
        <w:tc>
          <w:tcPr>
            <w:tcW w:w="1275" w:type="dxa"/>
            <w:shd w:val="clear" w:color="auto" w:fill="0070C0"/>
          </w:tcPr>
          <w:p w14:paraId="50F92603" w14:textId="747C9893" w:rsidR="00040AC6" w:rsidRPr="00C80F8E" w:rsidRDefault="00B24474" w:rsidP="00B24474">
            <w:pPr>
              <w:jc w:val="center"/>
              <w:rPr>
                <w:rFonts w:ascii="Abadi" w:hAnsi="Abadi" w:cstheme="minorHAnsi"/>
                <w:b/>
                <w:color w:val="FFFFFF" w:themeColor="background1"/>
                <w:sz w:val="20"/>
                <w:szCs w:val="20"/>
                <w:lang w:val="es-ES_tradnl"/>
              </w:rPr>
            </w:pPr>
            <w:r w:rsidRPr="00C80F8E">
              <w:rPr>
                <w:rFonts w:ascii="Abadi" w:hAnsi="Abadi" w:cstheme="minorHAnsi"/>
                <w:b/>
                <w:color w:val="FFFFFF" w:themeColor="background1"/>
                <w:sz w:val="20"/>
                <w:szCs w:val="20"/>
                <w:lang w:val="es-ES_tradnl"/>
              </w:rPr>
              <w:t>Relativa</w:t>
            </w:r>
          </w:p>
        </w:tc>
      </w:tr>
      <w:tr w:rsidR="00115CB9" w:rsidRPr="00C80F8E" w14:paraId="68B4347C" w14:textId="77777777" w:rsidTr="002F5DEF">
        <w:trPr>
          <w:trHeight w:val="258"/>
        </w:trPr>
        <w:tc>
          <w:tcPr>
            <w:tcW w:w="3823" w:type="dxa"/>
            <w:vAlign w:val="center"/>
          </w:tcPr>
          <w:p w14:paraId="20C4161E" w14:textId="696B94B0" w:rsidR="00115CB9" w:rsidRPr="00C80F8E" w:rsidRDefault="00115CB9" w:rsidP="00115CB9">
            <w:pPr>
              <w:rPr>
                <w:rFonts w:ascii="Abadi" w:hAnsi="Abadi" w:cstheme="minorHAnsi"/>
                <w:bCs/>
                <w:sz w:val="20"/>
                <w:szCs w:val="20"/>
                <w:lang w:val="es-ES_tradnl"/>
              </w:rPr>
            </w:pPr>
            <w:r w:rsidRPr="00C80F8E">
              <w:rPr>
                <w:rFonts w:ascii="Abadi" w:hAnsi="Abadi" w:cstheme="minorHAnsi"/>
                <w:bCs/>
                <w:sz w:val="20"/>
                <w:szCs w:val="20"/>
                <w:lang w:val="es-ES_tradnl"/>
              </w:rPr>
              <w:t>Contribución Patronal (7.10%</w:t>
            </w:r>
            <w:r w:rsidR="009A7DC9" w:rsidRPr="00C80F8E">
              <w:rPr>
                <w:rFonts w:ascii="Abadi" w:hAnsi="Abadi" w:cstheme="minorHAnsi"/>
                <w:bCs/>
                <w:sz w:val="20"/>
                <w:szCs w:val="20"/>
                <w:lang w:val="es-ES_tradnl"/>
              </w:rPr>
              <w:t>)</w:t>
            </w:r>
          </w:p>
        </w:tc>
        <w:tc>
          <w:tcPr>
            <w:tcW w:w="1417" w:type="dxa"/>
            <w:vAlign w:val="bottom"/>
          </w:tcPr>
          <w:p w14:paraId="1D913625" w14:textId="2ADB1CA8" w:rsidR="00115CB9" w:rsidRPr="00C80F8E" w:rsidRDefault="008A3EDF" w:rsidP="00115CB9">
            <w:pPr>
              <w:jc w:val="right"/>
              <w:rPr>
                <w:rFonts w:ascii="Abadi" w:hAnsi="Abadi" w:cstheme="minorHAnsi"/>
                <w:bCs/>
                <w:sz w:val="20"/>
                <w:szCs w:val="20"/>
                <w:lang w:val="es-ES_tradnl"/>
              </w:rPr>
            </w:pPr>
            <w:r w:rsidRPr="00C80F8E">
              <w:rPr>
                <w:rFonts w:ascii="Abadi" w:hAnsi="Abadi" w:cstheme="minorHAnsi"/>
                <w:bCs/>
                <w:sz w:val="20"/>
                <w:szCs w:val="20"/>
                <w:lang w:val="es-ES_tradnl"/>
              </w:rPr>
              <w:t>251,928,756.19</w:t>
            </w:r>
          </w:p>
        </w:tc>
        <w:tc>
          <w:tcPr>
            <w:tcW w:w="1418" w:type="dxa"/>
            <w:vAlign w:val="bottom"/>
          </w:tcPr>
          <w:p w14:paraId="66D6FA96" w14:textId="37FA6410" w:rsidR="00115CB9" w:rsidRPr="00C80F8E" w:rsidRDefault="009F02BC" w:rsidP="00115CB9">
            <w:pPr>
              <w:jc w:val="right"/>
              <w:rPr>
                <w:rFonts w:ascii="Abadi" w:hAnsi="Abadi" w:cstheme="minorHAnsi"/>
                <w:bCs/>
                <w:sz w:val="20"/>
                <w:szCs w:val="20"/>
                <w:lang w:val="es-ES_tradnl"/>
              </w:rPr>
            </w:pPr>
            <w:r w:rsidRPr="00C80F8E">
              <w:rPr>
                <w:rFonts w:ascii="Abadi" w:hAnsi="Abadi" w:cstheme="minorHAnsi"/>
                <w:bCs/>
                <w:sz w:val="20"/>
                <w:szCs w:val="20"/>
                <w:lang w:val="es-ES_tradnl"/>
              </w:rPr>
              <w:t>231,895,503.76</w:t>
            </w:r>
          </w:p>
        </w:tc>
        <w:tc>
          <w:tcPr>
            <w:tcW w:w="1417" w:type="dxa"/>
            <w:vAlign w:val="bottom"/>
          </w:tcPr>
          <w:p w14:paraId="605841D4" w14:textId="1B46C6D4" w:rsidR="00115CB9" w:rsidRPr="00C80F8E" w:rsidRDefault="00E95D4B" w:rsidP="00115CB9">
            <w:pPr>
              <w:jc w:val="right"/>
              <w:rPr>
                <w:rFonts w:ascii="Abadi" w:hAnsi="Abadi" w:cstheme="minorHAnsi"/>
                <w:bCs/>
                <w:sz w:val="20"/>
                <w:szCs w:val="20"/>
                <w:lang w:val="es-ES_tradnl"/>
              </w:rPr>
            </w:pPr>
            <w:r w:rsidRPr="00C80F8E">
              <w:rPr>
                <w:rFonts w:ascii="Abadi" w:hAnsi="Abadi" w:cstheme="minorHAnsi"/>
                <w:bCs/>
                <w:sz w:val="20"/>
                <w:szCs w:val="20"/>
                <w:lang w:val="es-ES_tradnl"/>
              </w:rPr>
              <w:t>20,033,252.43</w:t>
            </w:r>
          </w:p>
        </w:tc>
        <w:tc>
          <w:tcPr>
            <w:tcW w:w="1275" w:type="dxa"/>
            <w:vAlign w:val="bottom"/>
          </w:tcPr>
          <w:p w14:paraId="34E24D17" w14:textId="498317DC" w:rsidR="00115CB9" w:rsidRPr="00C80F8E" w:rsidRDefault="007D7F52" w:rsidP="00115CB9">
            <w:pPr>
              <w:jc w:val="right"/>
              <w:rPr>
                <w:rFonts w:ascii="Abadi" w:hAnsi="Abadi" w:cstheme="minorHAnsi"/>
                <w:bCs/>
                <w:sz w:val="20"/>
                <w:szCs w:val="20"/>
                <w:lang w:val="es-ES_tradnl"/>
              </w:rPr>
            </w:pPr>
            <w:r w:rsidRPr="00C80F8E">
              <w:rPr>
                <w:rFonts w:ascii="Abadi" w:hAnsi="Abadi" w:cstheme="minorHAnsi"/>
                <w:bCs/>
                <w:sz w:val="20"/>
                <w:szCs w:val="20"/>
                <w:lang w:val="es-ES_tradnl"/>
              </w:rPr>
              <w:t>8.64%</w:t>
            </w:r>
          </w:p>
        </w:tc>
      </w:tr>
      <w:tr w:rsidR="00115CB9" w:rsidRPr="00C80F8E" w14:paraId="718D07AF" w14:textId="77777777" w:rsidTr="002F5DEF">
        <w:trPr>
          <w:trHeight w:val="290"/>
        </w:trPr>
        <w:tc>
          <w:tcPr>
            <w:tcW w:w="3823" w:type="dxa"/>
          </w:tcPr>
          <w:p w14:paraId="644E5DAC" w14:textId="709F72CE" w:rsidR="00115CB9" w:rsidRPr="00C80F8E" w:rsidRDefault="00115CB9" w:rsidP="00115CB9">
            <w:pPr>
              <w:rPr>
                <w:rFonts w:ascii="Abadi" w:hAnsi="Abadi" w:cstheme="minorHAnsi"/>
                <w:bCs/>
                <w:sz w:val="20"/>
                <w:szCs w:val="20"/>
                <w:lang w:val="es-ES_tradnl"/>
              </w:rPr>
            </w:pPr>
            <w:r w:rsidRPr="00C80F8E">
              <w:rPr>
                <w:rFonts w:ascii="Abadi" w:hAnsi="Abadi" w:cstheme="minorHAnsi"/>
                <w:bCs/>
                <w:sz w:val="20"/>
                <w:szCs w:val="20"/>
                <w:lang w:val="es-ES_tradnl"/>
              </w:rPr>
              <w:t>Contribución de Empleados (2.87%)</w:t>
            </w:r>
          </w:p>
        </w:tc>
        <w:tc>
          <w:tcPr>
            <w:tcW w:w="1417" w:type="dxa"/>
            <w:tcBorders>
              <w:bottom w:val="single" w:sz="12" w:space="0" w:color="auto"/>
            </w:tcBorders>
            <w:vAlign w:val="bottom"/>
          </w:tcPr>
          <w:p w14:paraId="2D6C8D84" w14:textId="44C4468D" w:rsidR="00115CB9" w:rsidRPr="00C80F8E" w:rsidRDefault="001D4DD1" w:rsidP="00115CB9">
            <w:pPr>
              <w:jc w:val="right"/>
              <w:rPr>
                <w:rFonts w:ascii="Abadi" w:hAnsi="Abadi" w:cstheme="minorHAnsi"/>
                <w:bCs/>
                <w:sz w:val="20"/>
                <w:szCs w:val="20"/>
                <w:lang w:val="es-ES_tradnl"/>
              </w:rPr>
            </w:pPr>
            <w:r w:rsidRPr="00C80F8E">
              <w:rPr>
                <w:rFonts w:ascii="Abadi" w:hAnsi="Abadi" w:cstheme="minorHAnsi"/>
                <w:bCs/>
                <w:sz w:val="20"/>
                <w:szCs w:val="20"/>
                <w:lang w:val="es-ES_tradnl"/>
              </w:rPr>
              <w:t>101,835,990.16</w:t>
            </w:r>
          </w:p>
        </w:tc>
        <w:tc>
          <w:tcPr>
            <w:tcW w:w="1418" w:type="dxa"/>
            <w:tcBorders>
              <w:bottom w:val="single" w:sz="12" w:space="0" w:color="auto"/>
            </w:tcBorders>
            <w:vAlign w:val="bottom"/>
          </w:tcPr>
          <w:p w14:paraId="387DC85C" w14:textId="1E8CC1F1" w:rsidR="00115CB9" w:rsidRPr="00C80F8E" w:rsidRDefault="009F02BC" w:rsidP="00115CB9">
            <w:pPr>
              <w:jc w:val="right"/>
              <w:rPr>
                <w:rFonts w:ascii="Abadi" w:hAnsi="Abadi" w:cstheme="minorHAnsi"/>
                <w:bCs/>
                <w:sz w:val="20"/>
                <w:szCs w:val="20"/>
                <w:lang w:val="es-ES_tradnl"/>
              </w:rPr>
            </w:pPr>
            <w:r w:rsidRPr="00C80F8E">
              <w:rPr>
                <w:rFonts w:ascii="Abadi" w:hAnsi="Abadi" w:cstheme="minorHAnsi"/>
                <w:bCs/>
                <w:sz w:val="20"/>
                <w:szCs w:val="20"/>
                <w:lang w:val="es-ES_tradnl"/>
              </w:rPr>
              <w:t>93</w:t>
            </w:r>
            <w:r w:rsidR="008C5301" w:rsidRPr="00C80F8E">
              <w:rPr>
                <w:rFonts w:ascii="Abadi" w:hAnsi="Abadi" w:cstheme="minorHAnsi"/>
                <w:bCs/>
                <w:sz w:val="20"/>
                <w:szCs w:val="20"/>
                <w:lang w:val="es-ES_tradnl"/>
              </w:rPr>
              <w:t>,738,041.61</w:t>
            </w:r>
          </w:p>
        </w:tc>
        <w:tc>
          <w:tcPr>
            <w:tcW w:w="1417" w:type="dxa"/>
            <w:tcBorders>
              <w:bottom w:val="single" w:sz="12" w:space="0" w:color="auto"/>
            </w:tcBorders>
            <w:vAlign w:val="bottom"/>
          </w:tcPr>
          <w:p w14:paraId="4C7C4F3B" w14:textId="62B90B64" w:rsidR="00A75859" w:rsidRPr="00C80F8E" w:rsidRDefault="002F5DEF" w:rsidP="00A75859">
            <w:pPr>
              <w:jc w:val="right"/>
              <w:rPr>
                <w:rFonts w:ascii="Abadi" w:hAnsi="Abadi" w:cstheme="minorHAnsi"/>
                <w:bCs/>
                <w:sz w:val="20"/>
                <w:szCs w:val="20"/>
                <w:lang w:val="es-ES_tradnl"/>
              </w:rPr>
            </w:pPr>
            <w:r w:rsidRPr="00C80F8E">
              <w:rPr>
                <w:rFonts w:ascii="Abadi" w:hAnsi="Abadi" w:cstheme="minorHAnsi"/>
                <w:bCs/>
                <w:sz w:val="20"/>
                <w:szCs w:val="20"/>
                <w:lang w:val="es-ES_tradnl"/>
              </w:rPr>
              <w:t>8,097,948.55</w:t>
            </w:r>
          </w:p>
        </w:tc>
        <w:tc>
          <w:tcPr>
            <w:tcW w:w="1275" w:type="dxa"/>
            <w:tcBorders>
              <w:bottom w:val="single" w:sz="12" w:space="0" w:color="auto"/>
            </w:tcBorders>
            <w:vAlign w:val="bottom"/>
          </w:tcPr>
          <w:p w14:paraId="57F87428" w14:textId="54B2CEA4" w:rsidR="00115CB9" w:rsidRPr="00C80F8E" w:rsidRDefault="007D7F52" w:rsidP="00115CB9">
            <w:pPr>
              <w:jc w:val="right"/>
              <w:rPr>
                <w:rFonts w:ascii="Abadi" w:hAnsi="Abadi" w:cstheme="minorHAnsi"/>
                <w:bCs/>
                <w:sz w:val="20"/>
                <w:szCs w:val="20"/>
                <w:lang w:val="es-ES_tradnl"/>
              </w:rPr>
            </w:pPr>
            <w:r w:rsidRPr="00C80F8E">
              <w:rPr>
                <w:rFonts w:ascii="Abadi" w:hAnsi="Abadi" w:cstheme="minorHAnsi"/>
                <w:bCs/>
                <w:sz w:val="20"/>
                <w:szCs w:val="20"/>
                <w:lang w:val="es-ES_tradnl"/>
              </w:rPr>
              <w:t>8.64%</w:t>
            </w:r>
          </w:p>
        </w:tc>
      </w:tr>
      <w:tr w:rsidR="00115CB9" w:rsidRPr="00C80F8E" w14:paraId="42718C4C" w14:textId="77777777" w:rsidTr="002F5DEF">
        <w:trPr>
          <w:trHeight w:val="293"/>
        </w:trPr>
        <w:tc>
          <w:tcPr>
            <w:tcW w:w="3823" w:type="dxa"/>
          </w:tcPr>
          <w:p w14:paraId="29B0BAC5" w14:textId="77777777" w:rsidR="00115CB9" w:rsidRPr="00C80F8E" w:rsidRDefault="00115CB9" w:rsidP="00115CB9">
            <w:pPr>
              <w:rPr>
                <w:rFonts w:ascii="Abadi" w:hAnsi="Abadi" w:cstheme="minorHAnsi"/>
                <w:bCs/>
                <w:sz w:val="20"/>
                <w:szCs w:val="20"/>
                <w:lang w:val="es-ES_tradnl"/>
              </w:rPr>
            </w:pPr>
          </w:p>
          <w:p w14:paraId="6FBBB56F" w14:textId="5214E57B" w:rsidR="005C1C21" w:rsidRPr="00C80F8E" w:rsidRDefault="005C1C21" w:rsidP="00115CB9">
            <w:pPr>
              <w:rPr>
                <w:rFonts w:ascii="Abadi" w:hAnsi="Abadi" w:cstheme="minorHAnsi"/>
                <w:b/>
                <w:sz w:val="20"/>
                <w:szCs w:val="20"/>
                <w:lang w:val="es-ES_tradnl"/>
              </w:rPr>
            </w:pPr>
            <w:r w:rsidRPr="00C80F8E">
              <w:rPr>
                <w:rFonts w:ascii="Abadi" w:hAnsi="Abadi" w:cstheme="minorHAnsi"/>
                <w:b/>
                <w:sz w:val="20"/>
                <w:szCs w:val="20"/>
                <w:lang w:val="es-ES_tradnl"/>
              </w:rPr>
              <w:t>Totales</w:t>
            </w:r>
          </w:p>
        </w:tc>
        <w:tc>
          <w:tcPr>
            <w:tcW w:w="1417" w:type="dxa"/>
            <w:tcBorders>
              <w:top w:val="single" w:sz="12" w:space="0" w:color="auto"/>
              <w:bottom w:val="double" w:sz="4" w:space="0" w:color="auto"/>
            </w:tcBorders>
            <w:vAlign w:val="bottom"/>
          </w:tcPr>
          <w:p w14:paraId="0F2C4C61" w14:textId="7A8F80DC" w:rsidR="00115CB9" w:rsidRPr="00C80F8E" w:rsidRDefault="001D4DD1" w:rsidP="00115CB9">
            <w:pPr>
              <w:jc w:val="right"/>
              <w:rPr>
                <w:rFonts w:ascii="Abadi" w:hAnsi="Abadi" w:cs="Arial"/>
                <w:b/>
                <w:bCs/>
                <w:color w:val="000000"/>
                <w:sz w:val="20"/>
                <w:szCs w:val="20"/>
                <w:lang w:val="es-ES_tradnl"/>
              </w:rPr>
            </w:pPr>
            <w:r w:rsidRPr="00C80F8E">
              <w:rPr>
                <w:rFonts w:ascii="Abadi" w:hAnsi="Abadi" w:cs="Arial"/>
                <w:b/>
                <w:bCs/>
                <w:color w:val="000000"/>
                <w:sz w:val="20"/>
                <w:szCs w:val="20"/>
                <w:lang w:val="es-ES_tradnl"/>
              </w:rPr>
              <w:t>353,764,746.35</w:t>
            </w:r>
          </w:p>
        </w:tc>
        <w:tc>
          <w:tcPr>
            <w:tcW w:w="1418" w:type="dxa"/>
            <w:tcBorders>
              <w:top w:val="single" w:sz="12" w:space="0" w:color="auto"/>
              <w:bottom w:val="double" w:sz="4" w:space="0" w:color="auto"/>
            </w:tcBorders>
            <w:vAlign w:val="bottom"/>
          </w:tcPr>
          <w:p w14:paraId="317ACBD4" w14:textId="63D424E0" w:rsidR="00115CB9" w:rsidRPr="00C80F8E" w:rsidRDefault="008C5301" w:rsidP="00115CB9">
            <w:pPr>
              <w:jc w:val="right"/>
              <w:rPr>
                <w:rFonts w:ascii="Abadi" w:hAnsi="Abadi" w:cstheme="minorHAnsi"/>
                <w:b/>
                <w:sz w:val="20"/>
                <w:szCs w:val="20"/>
                <w:lang w:val="es-ES_tradnl"/>
              </w:rPr>
            </w:pPr>
            <w:r w:rsidRPr="00C80F8E">
              <w:rPr>
                <w:rFonts w:ascii="Abadi" w:hAnsi="Abadi" w:cstheme="minorHAnsi"/>
                <w:b/>
                <w:sz w:val="20"/>
                <w:szCs w:val="20"/>
                <w:lang w:val="es-ES_tradnl"/>
              </w:rPr>
              <w:t>325</w:t>
            </w:r>
            <w:r w:rsidR="004204D7" w:rsidRPr="00C80F8E">
              <w:rPr>
                <w:rFonts w:ascii="Abadi" w:hAnsi="Abadi" w:cstheme="minorHAnsi"/>
                <w:b/>
                <w:sz w:val="20"/>
                <w:szCs w:val="20"/>
                <w:lang w:val="es-ES_tradnl"/>
              </w:rPr>
              <w:t>,</w:t>
            </w:r>
            <w:r w:rsidRPr="00C80F8E">
              <w:rPr>
                <w:rFonts w:ascii="Abadi" w:hAnsi="Abadi" w:cstheme="minorHAnsi"/>
                <w:b/>
                <w:sz w:val="20"/>
                <w:szCs w:val="20"/>
                <w:lang w:val="es-ES_tradnl"/>
              </w:rPr>
              <w:t>633,545.37</w:t>
            </w:r>
          </w:p>
        </w:tc>
        <w:tc>
          <w:tcPr>
            <w:tcW w:w="1417" w:type="dxa"/>
            <w:tcBorders>
              <w:top w:val="single" w:sz="12" w:space="0" w:color="auto"/>
              <w:bottom w:val="double" w:sz="4" w:space="0" w:color="auto"/>
            </w:tcBorders>
            <w:vAlign w:val="bottom"/>
          </w:tcPr>
          <w:p w14:paraId="4EEA4C65" w14:textId="54487ABC" w:rsidR="00115CB9" w:rsidRPr="00C80F8E" w:rsidRDefault="007D7F52" w:rsidP="005C1C21">
            <w:pPr>
              <w:jc w:val="right"/>
              <w:rPr>
                <w:rFonts w:ascii="Abadi" w:hAnsi="Abadi" w:cstheme="minorHAnsi"/>
                <w:b/>
                <w:sz w:val="20"/>
                <w:szCs w:val="20"/>
                <w:lang w:val="es-ES_tradnl"/>
              </w:rPr>
            </w:pPr>
            <w:r w:rsidRPr="00C80F8E">
              <w:rPr>
                <w:rFonts w:ascii="Abadi" w:hAnsi="Abadi" w:cstheme="minorHAnsi"/>
                <w:b/>
                <w:sz w:val="20"/>
                <w:szCs w:val="20"/>
                <w:lang w:val="es-ES_tradnl"/>
              </w:rPr>
              <w:t>28,131,200.98</w:t>
            </w:r>
          </w:p>
        </w:tc>
        <w:tc>
          <w:tcPr>
            <w:tcW w:w="1275" w:type="dxa"/>
            <w:tcBorders>
              <w:top w:val="single" w:sz="12" w:space="0" w:color="auto"/>
              <w:bottom w:val="double" w:sz="4" w:space="0" w:color="auto"/>
            </w:tcBorders>
            <w:vAlign w:val="bottom"/>
          </w:tcPr>
          <w:p w14:paraId="0D81AA5E" w14:textId="2D60110D" w:rsidR="00115CB9" w:rsidRPr="00C80F8E" w:rsidRDefault="007D7F52" w:rsidP="00115CB9">
            <w:pPr>
              <w:jc w:val="right"/>
              <w:rPr>
                <w:rFonts w:ascii="Abadi" w:hAnsi="Abadi" w:cstheme="minorHAnsi"/>
                <w:b/>
                <w:sz w:val="20"/>
                <w:szCs w:val="20"/>
                <w:lang w:val="es-ES_tradnl"/>
              </w:rPr>
            </w:pPr>
            <w:r w:rsidRPr="00C80F8E">
              <w:rPr>
                <w:rFonts w:ascii="Abadi" w:hAnsi="Abadi" w:cstheme="minorHAnsi"/>
                <w:b/>
                <w:sz w:val="20"/>
                <w:szCs w:val="20"/>
                <w:lang w:val="es-ES_tradnl"/>
              </w:rPr>
              <w:t>8.64%</w:t>
            </w:r>
          </w:p>
        </w:tc>
      </w:tr>
    </w:tbl>
    <w:p w14:paraId="56948CEF" w14:textId="3A8EC3EA" w:rsidR="003B47BA" w:rsidRPr="00C80F8E" w:rsidRDefault="003B47BA" w:rsidP="002A3600">
      <w:pPr>
        <w:spacing w:line="240" w:lineRule="auto"/>
        <w:contextualSpacing/>
        <w:rPr>
          <w:rFonts w:ascii="Abadi" w:hAnsi="Abadi" w:cstheme="minorHAnsi"/>
          <w:b/>
          <w:sz w:val="20"/>
          <w:szCs w:val="20"/>
          <w:lang w:val="es-ES_tradnl"/>
        </w:rPr>
      </w:pPr>
    </w:p>
    <w:p w14:paraId="1BEF9FC4" w14:textId="77777777" w:rsidR="008911CD" w:rsidRPr="00C80F8E" w:rsidRDefault="008911CD"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Recargos, multas y otros ingresos</w:t>
      </w:r>
    </w:p>
    <w:p w14:paraId="52D0EE1B" w14:textId="4CEEB9CA" w:rsidR="008911CD" w:rsidRPr="00C80F8E" w:rsidRDefault="00E30777" w:rsidP="00E9031F">
      <w:pPr>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los ingresos por concepto de recargos, multas y otros ingresos totalizaron RD$7,621,456.54, en comparación con RD$7,833,405.80 registrados al 30 de junio de 2024. Esta diferencia representa una disminución absoluta de RD$211,949.26 y una variación relativa negativa de 2.71%.</w:t>
      </w:r>
      <w:r w:rsidR="008911CD" w:rsidRPr="00C80F8E">
        <w:rPr>
          <w:rFonts w:ascii="Abadi" w:hAnsi="Abadi" w:cstheme="minorHAnsi"/>
          <w:bCs/>
          <w:sz w:val="20"/>
          <w:szCs w:val="20"/>
          <w:lang w:val="es-ES_tradnl"/>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9918CA" w:rsidRPr="00C80F8E" w14:paraId="105E060C" w14:textId="77777777" w:rsidTr="006C2D82">
        <w:tc>
          <w:tcPr>
            <w:tcW w:w="4891" w:type="dxa"/>
            <w:shd w:val="clear" w:color="auto" w:fill="0070C0"/>
          </w:tcPr>
          <w:p w14:paraId="344B5BB9" w14:textId="77777777" w:rsidR="008911CD" w:rsidRPr="00C80F8E" w:rsidRDefault="008911CD"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4A0AA0D9" w14:textId="121DEEB4" w:rsidR="008911CD"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8B0E4A" w:rsidRPr="00C80F8E">
              <w:rPr>
                <w:rFonts w:ascii="Abadi" w:hAnsi="Abadi" w:cstheme="minorHAnsi"/>
                <w:b/>
                <w:bCs/>
                <w:color w:val="FFFFFF" w:themeColor="background1"/>
                <w:sz w:val="20"/>
                <w:szCs w:val="20"/>
                <w:lang w:val="es-ES_tradnl"/>
              </w:rPr>
              <w:t>5</w:t>
            </w:r>
          </w:p>
        </w:tc>
        <w:tc>
          <w:tcPr>
            <w:tcW w:w="2125" w:type="dxa"/>
            <w:shd w:val="clear" w:color="auto" w:fill="0070C0"/>
          </w:tcPr>
          <w:p w14:paraId="14C97A1A" w14:textId="3EAEE355" w:rsidR="008911CD"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8B0E4A" w:rsidRPr="00C80F8E">
              <w:rPr>
                <w:rFonts w:ascii="Abadi" w:hAnsi="Abadi" w:cstheme="minorHAnsi"/>
                <w:b/>
                <w:bCs/>
                <w:color w:val="FFFFFF" w:themeColor="background1"/>
                <w:sz w:val="20"/>
                <w:szCs w:val="20"/>
                <w:lang w:val="es-ES_tradnl"/>
              </w:rPr>
              <w:t>4</w:t>
            </w:r>
          </w:p>
        </w:tc>
      </w:tr>
      <w:tr w:rsidR="00B4313E" w:rsidRPr="00C80F8E" w14:paraId="1976AFF4" w14:textId="77777777" w:rsidTr="00297694">
        <w:tc>
          <w:tcPr>
            <w:tcW w:w="4891" w:type="dxa"/>
          </w:tcPr>
          <w:p w14:paraId="021AC298" w14:textId="292ED8A6" w:rsidR="008911CD" w:rsidRPr="00C80F8E" w:rsidRDefault="004A0883" w:rsidP="00297694">
            <w:pPr>
              <w:jc w:val="both"/>
              <w:rPr>
                <w:rFonts w:ascii="Abadi" w:hAnsi="Abadi" w:cstheme="minorHAnsi"/>
                <w:sz w:val="20"/>
                <w:szCs w:val="20"/>
                <w:lang w:val="es-ES_tradnl"/>
              </w:rPr>
            </w:pPr>
            <w:r w:rsidRPr="00C80F8E">
              <w:rPr>
                <w:rFonts w:ascii="Abadi" w:hAnsi="Abadi" w:cstheme="minorHAnsi"/>
                <w:sz w:val="20"/>
                <w:szCs w:val="20"/>
                <w:lang w:val="es-ES_tradnl"/>
              </w:rPr>
              <w:t>Interese</w:t>
            </w:r>
            <w:r w:rsidR="00DF6C32" w:rsidRPr="00C80F8E">
              <w:rPr>
                <w:rFonts w:ascii="Abadi" w:hAnsi="Abadi" w:cstheme="minorHAnsi"/>
                <w:sz w:val="20"/>
                <w:szCs w:val="20"/>
                <w:lang w:val="es-ES_tradnl"/>
              </w:rPr>
              <w:t>s Percibidos</w:t>
            </w:r>
          </w:p>
        </w:tc>
        <w:tc>
          <w:tcPr>
            <w:tcW w:w="2268" w:type="dxa"/>
          </w:tcPr>
          <w:p w14:paraId="57A7F897" w14:textId="3ABD3BA7" w:rsidR="008911CD" w:rsidRPr="00C80F8E" w:rsidRDefault="00F97F71" w:rsidP="00067713">
            <w:pPr>
              <w:jc w:val="right"/>
              <w:rPr>
                <w:rFonts w:ascii="Abadi" w:hAnsi="Abadi" w:cstheme="minorHAnsi"/>
                <w:sz w:val="20"/>
                <w:szCs w:val="20"/>
                <w:lang w:val="es-ES_tradnl"/>
              </w:rPr>
            </w:pPr>
            <w:r w:rsidRPr="00C80F8E">
              <w:rPr>
                <w:rFonts w:ascii="Abadi" w:hAnsi="Abadi" w:cstheme="minorHAnsi"/>
                <w:sz w:val="20"/>
                <w:szCs w:val="20"/>
                <w:lang w:val="es-ES_tradnl"/>
              </w:rPr>
              <w:t>6,410,249.13</w:t>
            </w:r>
          </w:p>
        </w:tc>
        <w:tc>
          <w:tcPr>
            <w:tcW w:w="2125" w:type="dxa"/>
          </w:tcPr>
          <w:p w14:paraId="61F89B9D" w14:textId="48D3287A" w:rsidR="008911CD" w:rsidRPr="00C80F8E" w:rsidRDefault="00E1652B" w:rsidP="00067713">
            <w:pPr>
              <w:jc w:val="right"/>
              <w:rPr>
                <w:rFonts w:ascii="Abadi" w:hAnsi="Abadi" w:cstheme="minorHAnsi"/>
                <w:sz w:val="20"/>
                <w:szCs w:val="20"/>
                <w:lang w:val="es-ES_tradnl"/>
              </w:rPr>
            </w:pPr>
            <w:r w:rsidRPr="00C80F8E">
              <w:rPr>
                <w:rFonts w:ascii="Abadi" w:hAnsi="Abadi" w:cstheme="minorHAnsi"/>
                <w:sz w:val="20"/>
                <w:szCs w:val="20"/>
                <w:lang w:val="es-ES_tradnl"/>
              </w:rPr>
              <w:t>5,044,224.39</w:t>
            </w:r>
          </w:p>
        </w:tc>
      </w:tr>
      <w:tr w:rsidR="00B4313E" w:rsidRPr="00C80F8E" w14:paraId="1DA39BC3" w14:textId="77777777" w:rsidTr="00297694">
        <w:tc>
          <w:tcPr>
            <w:tcW w:w="4891" w:type="dxa"/>
          </w:tcPr>
          <w:p w14:paraId="7948D5EA" w14:textId="48F0A9B2" w:rsidR="008911CD" w:rsidRPr="00C80F8E" w:rsidRDefault="00DF6C32" w:rsidP="00297694">
            <w:pPr>
              <w:jc w:val="both"/>
              <w:rPr>
                <w:rFonts w:ascii="Abadi" w:hAnsi="Abadi" w:cstheme="minorHAnsi"/>
                <w:sz w:val="20"/>
                <w:szCs w:val="20"/>
                <w:lang w:val="es-ES_tradnl"/>
              </w:rPr>
            </w:pPr>
            <w:r w:rsidRPr="00C80F8E">
              <w:rPr>
                <w:rFonts w:ascii="Abadi" w:hAnsi="Abadi" w:cstheme="minorHAnsi"/>
                <w:sz w:val="20"/>
                <w:szCs w:val="20"/>
                <w:lang w:val="es-ES_tradnl"/>
              </w:rPr>
              <w:t>Prima por Efecto Cambiario y Otros Ingresos</w:t>
            </w:r>
          </w:p>
        </w:tc>
        <w:tc>
          <w:tcPr>
            <w:tcW w:w="2268" w:type="dxa"/>
            <w:tcBorders>
              <w:bottom w:val="single" w:sz="4" w:space="0" w:color="auto"/>
            </w:tcBorders>
          </w:tcPr>
          <w:p w14:paraId="7A436DA3" w14:textId="2B482847" w:rsidR="008911CD" w:rsidRPr="00C80F8E" w:rsidRDefault="00C50016" w:rsidP="00067713">
            <w:pPr>
              <w:jc w:val="right"/>
              <w:rPr>
                <w:rFonts w:ascii="Abadi" w:hAnsi="Abadi" w:cstheme="minorHAnsi"/>
                <w:sz w:val="20"/>
                <w:szCs w:val="20"/>
                <w:lang w:val="es-ES_tradnl"/>
              </w:rPr>
            </w:pPr>
            <w:r w:rsidRPr="00C80F8E">
              <w:rPr>
                <w:rFonts w:ascii="Abadi" w:hAnsi="Abadi" w:cstheme="minorHAnsi"/>
                <w:sz w:val="20"/>
                <w:szCs w:val="20"/>
                <w:lang w:val="es-ES_tradnl"/>
              </w:rPr>
              <w:t>279,766.41</w:t>
            </w:r>
          </w:p>
        </w:tc>
        <w:tc>
          <w:tcPr>
            <w:tcW w:w="2125" w:type="dxa"/>
            <w:tcBorders>
              <w:bottom w:val="single" w:sz="4" w:space="0" w:color="auto"/>
            </w:tcBorders>
          </w:tcPr>
          <w:p w14:paraId="07D1FB55" w14:textId="77700D84" w:rsidR="008911CD" w:rsidRPr="00C80F8E" w:rsidRDefault="00E1652B" w:rsidP="00067713">
            <w:pPr>
              <w:jc w:val="right"/>
              <w:rPr>
                <w:rFonts w:ascii="Abadi" w:hAnsi="Abadi" w:cstheme="minorHAnsi"/>
                <w:sz w:val="20"/>
                <w:szCs w:val="20"/>
                <w:lang w:val="es-ES_tradnl"/>
              </w:rPr>
            </w:pPr>
            <w:r w:rsidRPr="00C80F8E">
              <w:rPr>
                <w:rFonts w:ascii="Abadi" w:hAnsi="Abadi" w:cstheme="minorHAnsi"/>
                <w:sz w:val="20"/>
                <w:szCs w:val="20"/>
                <w:lang w:val="es-ES_tradnl"/>
              </w:rPr>
              <w:t>18</w:t>
            </w:r>
            <w:r w:rsidR="00046CB2" w:rsidRPr="00C80F8E">
              <w:rPr>
                <w:rFonts w:ascii="Abadi" w:hAnsi="Abadi" w:cstheme="minorHAnsi"/>
                <w:sz w:val="20"/>
                <w:szCs w:val="20"/>
                <w:lang w:val="es-ES_tradnl"/>
              </w:rPr>
              <w:t>,223.30</w:t>
            </w:r>
          </w:p>
        </w:tc>
      </w:tr>
      <w:tr w:rsidR="00B4313E" w:rsidRPr="00C80F8E" w14:paraId="7D908D7F" w14:textId="77777777" w:rsidTr="00297694">
        <w:tc>
          <w:tcPr>
            <w:tcW w:w="4891" w:type="dxa"/>
          </w:tcPr>
          <w:p w14:paraId="4B4C4227" w14:textId="64225263" w:rsidR="00BE3A7A" w:rsidRPr="00C80F8E" w:rsidRDefault="00F65C00" w:rsidP="00297694">
            <w:pPr>
              <w:jc w:val="both"/>
              <w:rPr>
                <w:rFonts w:ascii="Abadi" w:hAnsi="Abadi" w:cstheme="minorHAnsi"/>
                <w:sz w:val="20"/>
                <w:szCs w:val="20"/>
                <w:lang w:val="es-ES_tradnl"/>
              </w:rPr>
            </w:pPr>
            <w:r w:rsidRPr="00C80F8E">
              <w:rPr>
                <w:rFonts w:ascii="Abadi" w:hAnsi="Abadi" w:cstheme="minorHAnsi"/>
                <w:sz w:val="20"/>
                <w:szCs w:val="20"/>
                <w:lang w:val="es-ES_tradnl"/>
              </w:rPr>
              <w:t>Transferencias Corrientes de Inst. Se</w:t>
            </w:r>
            <w:r w:rsidR="0070543C" w:rsidRPr="00C80F8E">
              <w:rPr>
                <w:rFonts w:ascii="Abadi" w:hAnsi="Abadi" w:cstheme="minorHAnsi"/>
                <w:sz w:val="20"/>
                <w:szCs w:val="20"/>
                <w:lang w:val="es-ES_tradnl"/>
              </w:rPr>
              <w:t>guridad Social</w:t>
            </w:r>
          </w:p>
        </w:tc>
        <w:tc>
          <w:tcPr>
            <w:tcW w:w="2268" w:type="dxa"/>
            <w:tcBorders>
              <w:bottom w:val="single" w:sz="4" w:space="0" w:color="auto"/>
            </w:tcBorders>
          </w:tcPr>
          <w:p w14:paraId="4792A051" w14:textId="7730AAD9" w:rsidR="0070543C" w:rsidRPr="00C80F8E" w:rsidRDefault="0070543C" w:rsidP="0070543C">
            <w:pPr>
              <w:jc w:val="right"/>
              <w:rPr>
                <w:rFonts w:ascii="Abadi" w:hAnsi="Abadi" w:cstheme="minorHAnsi"/>
                <w:sz w:val="20"/>
                <w:szCs w:val="20"/>
                <w:lang w:val="es-ES_tradnl"/>
              </w:rPr>
            </w:pPr>
          </w:p>
        </w:tc>
        <w:tc>
          <w:tcPr>
            <w:tcW w:w="2125" w:type="dxa"/>
            <w:tcBorders>
              <w:bottom w:val="single" w:sz="4" w:space="0" w:color="auto"/>
            </w:tcBorders>
          </w:tcPr>
          <w:p w14:paraId="5F1D2E92" w14:textId="5005523C" w:rsidR="00BE3A7A" w:rsidRPr="00C80F8E" w:rsidRDefault="00BE3A7A" w:rsidP="00067713">
            <w:pPr>
              <w:jc w:val="right"/>
              <w:rPr>
                <w:rFonts w:ascii="Abadi" w:hAnsi="Abadi" w:cstheme="minorHAnsi"/>
                <w:sz w:val="20"/>
                <w:szCs w:val="20"/>
                <w:lang w:val="es-ES_tradnl"/>
              </w:rPr>
            </w:pPr>
          </w:p>
        </w:tc>
      </w:tr>
      <w:tr w:rsidR="00B4313E" w:rsidRPr="00C80F8E" w14:paraId="0ABEA348" w14:textId="77777777" w:rsidTr="00AA6EA0">
        <w:tc>
          <w:tcPr>
            <w:tcW w:w="4891" w:type="dxa"/>
          </w:tcPr>
          <w:p w14:paraId="289B3DF1" w14:textId="77777777" w:rsidR="008911CD" w:rsidRPr="00C80F8E" w:rsidRDefault="00D320F2" w:rsidP="00297694">
            <w:pPr>
              <w:jc w:val="both"/>
              <w:rPr>
                <w:rFonts w:ascii="Abadi" w:hAnsi="Abadi" w:cstheme="minorHAnsi"/>
                <w:sz w:val="20"/>
                <w:szCs w:val="20"/>
                <w:lang w:val="es-ES_tradnl"/>
              </w:rPr>
            </w:pPr>
            <w:r w:rsidRPr="00C80F8E">
              <w:rPr>
                <w:rFonts w:ascii="Abadi" w:hAnsi="Abadi" w:cstheme="minorHAnsi"/>
                <w:sz w:val="20"/>
                <w:szCs w:val="20"/>
                <w:lang w:val="es-ES_tradnl"/>
              </w:rPr>
              <w:t>Otros ingresos</w:t>
            </w:r>
          </w:p>
        </w:tc>
        <w:tc>
          <w:tcPr>
            <w:tcW w:w="2268" w:type="dxa"/>
            <w:tcBorders>
              <w:bottom w:val="single" w:sz="12" w:space="0" w:color="auto"/>
            </w:tcBorders>
          </w:tcPr>
          <w:p w14:paraId="66A3FF92" w14:textId="4BAE338C" w:rsidR="008911CD" w:rsidRPr="00C80F8E" w:rsidRDefault="00C50016" w:rsidP="00067713">
            <w:pPr>
              <w:jc w:val="right"/>
              <w:rPr>
                <w:rFonts w:ascii="Abadi" w:hAnsi="Abadi" w:cstheme="minorHAnsi"/>
                <w:sz w:val="20"/>
                <w:szCs w:val="20"/>
                <w:lang w:val="es-ES_tradnl"/>
              </w:rPr>
            </w:pPr>
            <w:r w:rsidRPr="00C80F8E">
              <w:rPr>
                <w:rFonts w:ascii="Abadi" w:hAnsi="Abadi" w:cstheme="minorHAnsi"/>
                <w:sz w:val="20"/>
                <w:szCs w:val="20"/>
                <w:lang w:val="es-ES_tradnl"/>
              </w:rPr>
              <w:t>931</w:t>
            </w:r>
            <w:r w:rsidR="001A159D" w:rsidRPr="00C80F8E">
              <w:rPr>
                <w:rFonts w:ascii="Abadi" w:hAnsi="Abadi" w:cstheme="minorHAnsi"/>
                <w:sz w:val="20"/>
                <w:szCs w:val="20"/>
                <w:lang w:val="es-ES_tradnl"/>
              </w:rPr>
              <w:t>,</w:t>
            </w:r>
            <w:r w:rsidRPr="00C80F8E">
              <w:rPr>
                <w:rFonts w:ascii="Abadi" w:hAnsi="Abadi" w:cstheme="minorHAnsi"/>
                <w:sz w:val="20"/>
                <w:szCs w:val="20"/>
                <w:lang w:val="es-ES_tradnl"/>
              </w:rPr>
              <w:t>441.00</w:t>
            </w:r>
          </w:p>
        </w:tc>
        <w:tc>
          <w:tcPr>
            <w:tcW w:w="2125" w:type="dxa"/>
            <w:tcBorders>
              <w:bottom w:val="single" w:sz="12" w:space="0" w:color="auto"/>
            </w:tcBorders>
          </w:tcPr>
          <w:p w14:paraId="3C9066A5" w14:textId="125F4E02" w:rsidR="008911CD" w:rsidRPr="00C80F8E" w:rsidRDefault="00F97F71" w:rsidP="00067713">
            <w:pPr>
              <w:jc w:val="right"/>
              <w:rPr>
                <w:rFonts w:ascii="Abadi" w:hAnsi="Abadi" w:cstheme="minorHAnsi"/>
                <w:sz w:val="20"/>
                <w:szCs w:val="20"/>
                <w:lang w:val="es-ES_tradnl"/>
              </w:rPr>
            </w:pPr>
            <w:r w:rsidRPr="00C80F8E">
              <w:rPr>
                <w:rFonts w:ascii="Abadi" w:hAnsi="Abadi" w:cstheme="minorHAnsi"/>
                <w:sz w:val="20"/>
                <w:szCs w:val="20"/>
                <w:lang w:val="es-ES_tradnl"/>
              </w:rPr>
              <w:t>2,770,958.11</w:t>
            </w:r>
          </w:p>
        </w:tc>
      </w:tr>
      <w:tr w:rsidR="00B4313E" w:rsidRPr="00C80F8E" w14:paraId="7A9EAE5B" w14:textId="77777777" w:rsidTr="00BE659C">
        <w:tc>
          <w:tcPr>
            <w:tcW w:w="4891" w:type="dxa"/>
          </w:tcPr>
          <w:p w14:paraId="4E8AC4BE" w14:textId="77777777" w:rsidR="008911CD" w:rsidRPr="00C80F8E" w:rsidRDefault="008911CD" w:rsidP="00494B35">
            <w:pPr>
              <w:jc w:val="both"/>
              <w:rPr>
                <w:rFonts w:ascii="Abadi" w:hAnsi="Abadi" w:cstheme="minorHAnsi"/>
                <w:sz w:val="20"/>
                <w:szCs w:val="20"/>
                <w:lang w:val="es-ES_tradnl"/>
              </w:rPr>
            </w:pPr>
            <w:proofErr w:type="gramStart"/>
            <w:r w:rsidRPr="00C80F8E">
              <w:rPr>
                <w:rFonts w:ascii="Abadi" w:hAnsi="Abadi" w:cstheme="minorHAnsi"/>
                <w:sz w:val="20"/>
                <w:szCs w:val="20"/>
                <w:lang w:val="es-ES_tradnl"/>
              </w:rPr>
              <w:t>Total</w:t>
            </w:r>
            <w:proofErr w:type="gramEnd"/>
            <w:r w:rsidR="00494B35" w:rsidRPr="00C80F8E">
              <w:rPr>
                <w:rFonts w:ascii="Abadi" w:hAnsi="Abadi" w:cstheme="minorHAnsi"/>
                <w:bCs/>
                <w:sz w:val="20"/>
                <w:szCs w:val="20"/>
                <w:lang w:val="es-ES_tradnl"/>
              </w:rPr>
              <w:t xml:space="preserve"> </w:t>
            </w:r>
            <w:r w:rsidR="00C442DE" w:rsidRPr="00C80F8E">
              <w:rPr>
                <w:rFonts w:ascii="Abadi" w:hAnsi="Abadi" w:cstheme="minorHAnsi"/>
                <w:bCs/>
                <w:sz w:val="20"/>
                <w:szCs w:val="20"/>
                <w:lang w:val="es-ES_tradnl"/>
              </w:rPr>
              <w:t>i</w:t>
            </w:r>
            <w:r w:rsidRPr="00C80F8E">
              <w:rPr>
                <w:rFonts w:ascii="Abadi" w:hAnsi="Abadi" w:cstheme="minorHAnsi"/>
                <w:bCs/>
                <w:sz w:val="20"/>
                <w:szCs w:val="20"/>
                <w:lang w:val="es-ES_tradnl"/>
              </w:rPr>
              <w:t xml:space="preserve">ngresos </w:t>
            </w:r>
            <w:r w:rsidR="004A2179" w:rsidRPr="00C80F8E">
              <w:rPr>
                <w:rFonts w:ascii="Abadi" w:hAnsi="Abadi" w:cstheme="minorHAnsi"/>
                <w:bCs/>
                <w:sz w:val="20"/>
                <w:szCs w:val="20"/>
                <w:lang w:val="es-ES_tradnl"/>
              </w:rPr>
              <w:t>recargos, multas y otros ingresos</w:t>
            </w:r>
          </w:p>
        </w:tc>
        <w:tc>
          <w:tcPr>
            <w:tcW w:w="2268" w:type="dxa"/>
            <w:tcBorders>
              <w:top w:val="single" w:sz="12" w:space="0" w:color="auto"/>
              <w:bottom w:val="double" w:sz="4" w:space="0" w:color="auto"/>
            </w:tcBorders>
          </w:tcPr>
          <w:p w14:paraId="3CAA80B8" w14:textId="78504CF0" w:rsidR="008911CD" w:rsidRPr="00C80F8E" w:rsidRDefault="00C71140" w:rsidP="00067713">
            <w:pPr>
              <w:jc w:val="right"/>
              <w:rPr>
                <w:rFonts w:ascii="Abadi" w:hAnsi="Abadi" w:cstheme="minorHAnsi"/>
                <w:b/>
                <w:bCs/>
                <w:sz w:val="20"/>
                <w:szCs w:val="20"/>
                <w:lang w:val="es-ES_tradnl"/>
              </w:rPr>
            </w:pPr>
            <w:r w:rsidRPr="00C80F8E">
              <w:rPr>
                <w:rFonts w:ascii="Abadi" w:hAnsi="Abadi" w:cstheme="minorHAnsi"/>
                <w:b/>
                <w:bCs/>
                <w:sz w:val="20"/>
                <w:szCs w:val="20"/>
                <w:lang w:val="es-ES_tradnl"/>
              </w:rPr>
              <w:t>7,621,456.54</w:t>
            </w:r>
          </w:p>
        </w:tc>
        <w:tc>
          <w:tcPr>
            <w:tcW w:w="2125" w:type="dxa"/>
            <w:tcBorders>
              <w:top w:val="single" w:sz="12" w:space="0" w:color="auto"/>
              <w:bottom w:val="double" w:sz="4" w:space="0" w:color="auto"/>
            </w:tcBorders>
          </w:tcPr>
          <w:p w14:paraId="7418E88F" w14:textId="452AECF7" w:rsidR="008911CD" w:rsidRPr="00C80F8E" w:rsidRDefault="00C71140" w:rsidP="00067713">
            <w:pPr>
              <w:jc w:val="right"/>
              <w:rPr>
                <w:rFonts w:ascii="Abadi" w:hAnsi="Abadi" w:cstheme="minorHAnsi"/>
                <w:b/>
                <w:bCs/>
                <w:sz w:val="20"/>
                <w:szCs w:val="20"/>
                <w:lang w:val="es-ES_tradnl"/>
              </w:rPr>
            </w:pPr>
            <w:r w:rsidRPr="00C80F8E">
              <w:rPr>
                <w:rFonts w:ascii="Abadi" w:hAnsi="Abadi" w:cstheme="minorHAnsi"/>
                <w:b/>
                <w:bCs/>
                <w:sz w:val="20"/>
                <w:szCs w:val="20"/>
                <w:lang w:val="es-ES_tradnl"/>
              </w:rPr>
              <w:t>7,833,405.80</w:t>
            </w:r>
          </w:p>
        </w:tc>
      </w:tr>
    </w:tbl>
    <w:p w14:paraId="3493D55E" w14:textId="5C30549D" w:rsidR="008911CD" w:rsidRPr="00C80F8E" w:rsidRDefault="00C71140" w:rsidP="002A3600">
      <w:pPr>
        <w:spacing w:line="240" w:lineRule="auto"/>
        <w:contextualSpacing/>
        <w:rPr>
          <w:rFonts w:ascii="Abadi" w:hAnsi="Abadi" w:cstheme="minorHAnsi"/>
          <w:bCs/>
          <w:sz w:val="20"/>
          <w:szCs w:val="20"/>
          <w:lang w:val="es-ES_tradnl"/>
        </w:rPr>
      </w:pPr>
      <w:r w:rsidRPr="00C80F8E">
        <w:rPr>
          <w:rFonts w:ascii="Abadi" w:hAnsi="Abadi" w:cstheme="minorHAnsi"/>
          <w:bCs/>
          <w:sz w:val="20"/>
          <w:szCs w:val="20"/>
          <w:lang w:val="es-ES_tradnl"/>
        </w:rPr>
        <w:t>,</w:t>
      </w:r>
    </w:p>
    <w:p w14:paraId="3EB60B88" w14:textId="0178770C" w:rsidR="00352662" w:rsidRPr="00C80F8E" w:rsidRDefault="00D20C31" w:rsidP="00352662">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2</w:t>
      </w:r>
      <w:r w:rsidR="00C211D3" w:rsidRPr="00C80F8E">
        <w:rPr>
          <w:rFonts w:ascii="Abadi" w:hAnsi="Abadi" w:cstheme="minorHAnsi"/>
          <w:b/>
          <w:iCs/>
          <w:sz w:val="20"/>
          <w:szCs w:val="20"/>
          <w:lang w:val="es-ES_tradnl"/>
        </w:rPr>
        <w:t>0</w:t>
      </w:r>
      <w:r w:rsidRPr="00C80F8E">
        <w:rPr>
          <w:rFonts w:ascii="Abadi" w:hAnsi="Abadi" w:cstheme="minorHAnsi"/>
          <w:b/>
          <w:iCs/>
          <w:sz w:val="20"/>
          <w:szCs w:val="20"/>
          <w:lang w:val="es-ES_tradnl"/>
        </w:rPr>
        <w:t>.</w:t>
      </w:r>
      <w:r w:rsidR="004A0883" w:rsidRPr="00C80F8E">
        <w:rPr>
          <w:rFonts w:ascii="Abadi" w:hAnsi="Abadi" w:cstheme="minorHAnsi"/>
          <w:b/>
          <w:iCs/>
          <w:sz w:val="20"/>
          <w:szCs w:val="20"/>
          <w:lang w:val="es-ES_tradnl"/>
        </w:rPr>
        <w:t xml:space="preserve">1 </w:t>
      </w:r>
      <w:r w:rsidR="00352662" w:rsidRPr="00C80F8E">
        <w:rPr>
          <w:rFonts w:ascii="Abadi" w:hAnsi="Abadi" w:cstheme="minorHAnsi"/>
          <w:b/>
          <w:iCs/>
          <w:sz w:val="20"/>
          <w:szCs w:val="20"/>
          <w:lang w:val="es-ES_tradnl"/>
        </w:rPr>
        <w:t>Intereses Percibidos.</w:t>
      </w:r>
    </w:p>
    <w:p w14:paraId="4211147D" w14:textId="6DBBE287" w:rsidR="00793998" w:rsidRPr="00C80F8E" w:rsidRDefault="0030594E" w:rsidP="00352662">
      <w:pPr>
        <w:spacing w:line="360" w:lineRule="auto"/>
        <w:jc w:val="both"/>
        <w:rPr>
          <w:rFonts w:ascii="Abadi" w:hAnsi="Abadi" w:cstheme="minorHAnsi"/>
          <w:bCs/>
          <w:iCs/>
          <w:sz w:val="20"/>
          <w:szCs w:val="20"/>
          <w:lang w:val="es-ES_tradnl"/>
        </w:rPr>
      </w:pPr>
      <w:r w:rsidRPr="00C80F8E">
        <w:rPr>
          <w:rFonts w:ascii="Abadi" w:hAnsi="Abadi" w:cstheme="minorHAnsi"/>
          <w:bCs/>
          <w:iCs/>
          <w:sz w:val="20"/>
          <w:szCs w:val="20"/>
          <w:lang w:val="es-ES_tradnl" w:eastAsia="es-ES"/>
        </w:rPr>
        <w:t>Al 30 de junio de 2025, los intereses percibidos totalizaron RD$6,410,249.13, en comparación con RD$5,044,224.39 registrados al 30 de junio de 2024. Esta diferencia representa un incremento absoluto de RD$1,366,024.74 y una variación relativa positiva de 27.08%, atribuida a un mayor volumen de fondos invertidos y mejores condiciones en las tasas de interés obtenidas durante el período.</w:t>
      </w:r>
    </w:p>
    <w:tbl>
      <w:tblPr>
        <w:tblStyle w:val="Tablaconcuadrcula"/>
        <w:tblW w:w="0" w:type="auto"/>
        <w:tblInd w:w="66" w:type="dxa"/>
        <w:tblLook w:val="04A0" w:firstRow="1" w:lastRow="0" w:firstColumn="1" w:lastColumn="0" w:noHBand="0" w:noVBand="1"/>
      </w:tblPr>
      <w:tblGrid>
        <w:gridCol w:w="4891"/>
        <w:gridCol w:w="2268"/>
        <w:gridCol w:w="2125"/>
      </w:tblGrid>
      <w:tr w:rsidR="006655BA" w:rsidRPr="00C80F8E" w14:paraId="62B66AD2" w14:textId="77777777" w:rsidTr="009F5001">
        <w:tc>
          <w:tcPr>
            <w:tcW w:w="4891" w:type="dxa"/>
            <w:shd w:val="clear" w:color="auto" w:fill="0070C0"/>
          </w:tcPr>
          <w:p w14:paraId="1AF4A9F6" w14:textId="77777777" w:rsidR="006655BA" w:rsidRPr="00C80F8E" w:rsidRDefault="006655BA"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3729097A" w14:textId="77777777" w:rsidR="006655BA" w:rsidRPr="00C80F8E" w:rsidRDefault="006655BA"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tcPr>
          <w:p w14:paraId="3C5D4F42" w14:textId="77777777" w:rsidR="006655BA" w:rsidRPr="00C80F8E" w:rsidRDefault="006655BA"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6655BA" w:rsidRPr="00C80F8E" w14:paraId="270732CF" w14:textId="77777777" w:rsidTr="009F5001">
        <w:tc>
          <w:tcPr>
            <w:tcW w:w="4891" w:type="dxa"/>
          </w:tcPr>
          <w:p w14:paraId="0B2CDDF2" w14:textId="77777777" w:rsidR="006655BA" w:rsidRPr="00C80F8E" w:rsidRDefault="006655BA" w:rsidP="009F5001">
            <w:pPr>
              <w:jc w:val="both"/>
              <w:rPr>
                <w:rFonts w:ascii="Abadi" w:hAnsi="Abadi" w:cstheme="minorHAnsi"/>
                <w:sz w:val="20"/>
                <w:szCs w:val="20"/>
                <w:lang w:val="es-ES_tradnl"/>
              </w:rPr>
            </w:pPr>
            <w:r w:rsidRPr="00C80F8E">
              <w:rPr>
                <w:rFonts w:ascii="Abadi" w:hAnsi="Abadi" w:cstheme="minorHAnsi"/>
                <w:sz w:val="20"/>
                <w:szCs w:val="20"/>
                <w:lang w:val="es-ES_tradnl"/>
              </w:rPr>
              <w:t>Intereses Percibidos</w:t>
            </w:r>
          </w:p>
        </w:tc>
        <w:tc>
          <w:tcPr>
            <w:tcW w:w="2268" w:type="dxa"/>
          </w:tcPr>
          <w:p w14:paraId="534B56B8" w14:textId="77777777" w:rsidR="006655BA" w:rsidRPr="00C80F8E" w:rsidRDefault="006655BA" w:rsidP="009F5001">
            <w:pPr>
              <w:jc w:val="right"/>
              <w:rPr>
                <w:rFonts w:ascii="Abadi" w:hAnsi="Abadi" w:cstheme="minorHAnsi"/>
                <w:sz w:val="20"/>
                <w:szCs w:val="20"/>
                <w:lang w:val="es-ES_tradnl"/>
              </w:rPr>
            </w:pPr>
            <w:r w:rsidRPr="00C80F8E">
              <w:rPr>
                <w:rFonts w:ascii="Abadi" w:hAnsi="Abadi" w:cstheme="minorHAnsi"/>
                <w:sz w:val="20"/>
                <w:szCs w:val="20"/>
                <w:lang w:val="es-ES_tradnl"/>
              </w:rPr>
              <w:t>6,410,249.13</w:t>
            </w:r>
          </w:p>
        </w:tc>
        <w:tc>
          <w:tcPr>
            <w:tcW w:w="2125" w:type="dxa"/>
          </w:tcPr>
          <w:p w14:paraId="0C4AA777" w14:textId="77777777" w:rsidR="006655BA" w:rsidRPr="00C80F8E" w:rsidRDefault="006655BA" w:rsidP="009F5001">
            <w:pPr>
              <w:jc w:val="right"/>
              <w:rPr>
                <w:rFonts w:ascii="Abadi" w:hAnsi="Abadi" w:cstheme="minorHAnsi"/>
                <w:sz w:val="20"/>
                <w:szCs w:val="20"/>
                <w:lang w:val="es-ES_tradnl"/>
              </w:rPr>
            </w:pPr>
            <w:r w:rsidRPr="00C80F8E">
              <w:rPr>
                <w:rFonts w:ascii="Abadi" w:hAnsi="Abadi" w:cstheme="minorHAnsi"/>
                <w:sz w:val="20"/>
                <w:szCs w:val="20"/>
                <w:lang w:val="es-ES_tradnl"/>
              </w:rPr>
              <w:t>5,044,224.39</w:t>
            </w:r>
          </w:p>
        </w:tc>
      </w:tr>
      <w:tr w:rsidR="006655BA" w:rsidRPr="00C80F8E" w14:paraId="20E1C99B" w14:textId="77777777" w:rsidTr="009F5001">
        <w:tc>
          <w:tcPr>
            <w:tcW w:w="4891" w:type="dxa"/>
          </w:tcPr>
          <w:p w14:paraId="57269AED" w14:textId="406B5BAB" w:rsidR="006655BA" w:rsidRPr="00C80F8E" w:rsidRDefault="006655BA" w:rsidP="009F5001">
            <w:pPr>
              <w:jc w:val="both"/>
              <w:rPr>
                <w:rFonts w:ascii="Abadi" w:hAnsi="Abadi" w:cstheme="minorHAnsi"/>
                <w:sz w:val="20"/>
                <w:szCs w:val="20"/>
                <w:lang w:val="es-ES_tradnl"/>
              </w:rPr>
            </w:pPr>
            <w:proofErr w:type="gramStart"/>
            <w:r w:rsidRPr="00C80F8E">
              <w:rPr>
                <w:rFonts w:ascii="Abadi" w:hAnsi="Abadi" w:cstheme="minorHAnsi"/>
                <w:sz w:val="20"/>
                <w:szCs w:val="20"/>
                <w:lang w:val="es-ES_tradnl"/>
              </w:rPr>
              <w:t>Total</w:t>
            </w:r>
            <w:proofErr w:type="gramEnd"/>
            <w:r w:rsidRPr="00C80F8E">
              <w:rPr>
                <w:rFonts w:ascii="Abadi" w:hAnsi="Abadi" w:cstheme="minorHAnsi"/>
                <w:bCs/>
                <w:sz w:val="20"/>
                <w:szCs w:val="20"/>
                <w:lang w:val="es-ES_tradnl"/>
              </w:rPr>
              <w:t xml:space="preserve"> </w:t>
            </w:r>
            <w:r w:rsidR="00592EC8" w:rsidRPr="00C80F8E">
              <w:rPr>
                <w:rFonts w:ascii="Abadi" w:hAnsi="Abadi" w:cstheme="minorHAnsi"/>
                <w:bCs/>
                <w:sz w:val="20"/>
                <w:szCs w:val="20"/>
                <w:lang w:val="es-ES_tradnl"/>
              </w:rPr>
              <w:t>Intereses Percibidos</w:t>
            </w:r>
          </w:p>
        </w:tc>
        <w:tc>
          <w:tcPr>
            <w:tcW w:w="2268" w:type="dxa"/>
            <w:tcBorders>
              <w:top w:val="single" w:sz="12" w:space="0" w:color="auto"/>
              <w:bottom w:val="double" w:sz="4" w:space="0" w:color="auto"/>
            </w:tcBorders>
          </w:tcPr>
          <w:p w14:paraId="7F126BE2" w14:textId="43A24B58" w:rsidR="006655BA" w:rsidRPr="00C80F8E" w:rsidRDefault="008623BC" w:rsidP="009F5001">
            <w:pPr>
              <w:jc w:val="right"/>
              <w:rPr>
                <w:rFonts w:ascii="Abadi" w:hAnsi="Abadi" w:cstheme="minorHAnsi"/>
                <w:b/>
                <w:bCs/>
                <w:sz w:val="20"/>
                <w:szCs w:val="20"/>
                <w:lang w:val="es-ES_tradnl"/>
              </w:rPr>
            </w:pPr>
            <w:r w:rsidRPr="00C80F8E">
              <w:rPr>
                <w:rFonts w:ascii="Abadi" w:hAnsi="Abadi" w:cstheme="minorHAnsi"/>
                <w:b/>
                <w:bCs/>
                <w:sz w:val="20"/>
                <w:szCs w:val="20"/>
                <w:lang w:val="es-ES_tradnl"/>
              </w:rPr>
              <w:t>6,410,249.13</w:t>
            </w:r>
          </w:p>
        </w:tc>
        <w:tc>
          <w:tcPr>
            <w:tcW w:w="2125" w:type="dxa"/>
            <w:tcBorders>
              <w:top w:val="single" w:sz="12" w:space="0" w:color="auto"/>
              <w:bottom w:val="double" w:sz="4" w:space="0" w:color="auto"/>
            </w:tcBorders>
          </w:tcPr>
          <w:p w14:paraId="00C1ABA0" w14:textId="7E8BBFEB" w:rsidR="006655BA" w:rsidRPr="00C80F8E" w:rsidRDefault="001A3FD8" w:rsidP="009F5001">
            <w:pPr>
              <w:jc w:val="right"/>
              <w:rPr>
                <w:rFonts w:ascii="Abadi" w:hAnsi="Abadi" w:cstheme="minorHAnsi"/>
                <w:b/>
                <w:bCs/>
                <w:sz w:val="20"/>
                <w:szCs w:val="20"/>
                <w:lang w:val="es-ES_tradnl"/>
              </w:rPr>
            </w:pPr>
            <w:r w:rsidRPr="00C80F8E">
              <w:rPr>
                <w:rFonts w:ascii="Abadi" w:hAnsi="Abadi" w:cstheme="minorHAnsi"/>
                <w:b/>
                <w:bCs/>
                <w:sz w:val="20"/>
                <w:szCs w:val="20"/>
                <w:lang w:val="es-ES_tradnl"/>
              </w:rPr>
              <w:t>5,044,224.39</w:t>
            </w:r>
          </w:p>
        </w:tc>
      </w:tr>
    </w:tbl>
    <w:p w14:paraId="6FDE4870" w14:textId="77777777" w:rsidR="006655BA" w:rsidRPr="00C80F8E" w:rsidRDefault="006655BA" w:rsidP="00352662">
      <w:pPr>
        <w:spacing w:line="360" w:lineRule="auto"/>
        <w:jc w:val="both"/>
        <w:rPr>
          <w:rFonts w:ascii="Abadi" w:hAnsi="Abadi" w:cstheme="minorHAnsi"/>
          <w:iCs/>
          <w:sz w:val="20"/>
          <w:szCs w:val="20"/>
          <w:lang w:val="es-ES_tradnl"/>
        </w:rPr>
      </w:pPr>
    </w:p>
    <w:p w14:paraId="1FA91080" w14:textId="77777777" w:rsidR="002A3600" w:rsidRDefault="002A3600" w:rsidP="00352662">
      <w:pPr>
        <w:spacing w:line="360" w:lineRule="auto"/>
        <w:jc w:val="both"/>
        <w:rPr>
          <w:rFonts w:ascii="Abadi" w:hAnsi="Abadi" w:cstheme="minorHAnsi"/>
          <w:b/>
          <w:iCs/>
          <w:sz w:val="20"/>
          <w:szCs w:val="20"/>
          <w:lang w:val="es-ES_tradnl"/>
        </w:rPr>
      </w:pPr>
    </w:p>
    <w:p w14:paraId="40E6A03D" w14:textId="2442544F" w:rsidR="00352662" w:rsidRPr="00C80F8E" w:rsidRDefault="004A0883" w:rsidP="00352662">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2</w:t>
      </w:r>
      <w:r w:rsidR="00C211D3" w:rsidRPr="00C80F8E">
        <w:rPr>
          <w:rFonts w:ascii="Abadi" w:hAnsi="Abadi" w:cstheme="minorHAnsi"/>
          <w:b/>
          <w:iCs/>
          <w:sz w:val="20"/>
          <w:szCs w:val="20"/>
          <w:lang w:val="es-ES_tradnl"/>
        </w:rPr>
        <w:t>0</w:t>
      </w:r>
      <w:r w:rsidR="00352662" w:rsidRPr="00C80F8E">
        <w:rPr>
          <w:rFonts w:ascii="Abadi" w:hAnsi="Abadi" w:cstheme="minorHAnsi"/>
          <w:b/>
          <w:iCs/>
          <w:sz w:val="20"/>
          <w:szCs w:val="20"/>
          <w:lang w:val="es-ES_tradnl"/>
        </w:rPr>
        <w:t>.2 Prima por Efecto Cambiario y Otros Ingresos.</w:t>
      </w:r>
    </w:p>
    <w:p w14:paraId="0E4F8CD9" w14:textId="33BA6755" w:rsidR="00352662" w:rsidRPr="00E80F95" w:rsidRDefault="00E36EBA" w:rsidP="00E80F95">
      <w:pPr>
        <w:jc w:val="both"/>
        <w:rPr>
          <w:rFonts w:ascii="Abadi" w:eastAsia="Times New Roman" w:hAnsi="Abadi" w:cstheme="minorHAnsi"/>
          <w:iCs/>
          <w:sz w:val="20"/>
          <w:szCs w:val="20"/>
          <w:lang w:val="es-ES_tradnl" w:eastAsia="es-ES"/>
        </w:rPr>
      </w:pPr>
      <w:r w:rsidRPr="00C80F8E">
        <w:rPr>
          <w:rFonts w:ascii="Abadi" w:hAnsi="Abadi" w:cstheme="minorHAnsi"/>
          <w:bCs/>
          <w:iCs/>
          <w:sz w:val="20"/>
          <w:szCs w:val="20"/>
          <w:lang w:val="es-ES_tradnl" w:eastAsia="es-ES"/>
        </w:rPr>
        <w:t>Al 30 de junio de 2025, los ingresos registrados en concepto de prima por efecto cambiario y otros ingresos ascendieron a RD$279,766.41, en comparación con RD$18,223.30 al 30 de junio de 2024. Esta diferencia representa un incremento absoluto de RD$261,543.11 y una variación relativa positiva de 1,435.37%, atribuida principalmente a la mayor revalorización del saldo en moneda extranjera debido a la evolución favorable de la tasa de cambio del dólar estadounidense, así como al reconocimiento de otros ingresos extraordinarios durante el semestre.</w:t>
      </w:r>
      <w:r w:rsidR="004F35D8">
        <w:rPr>
          <w:rFonts w:ascii="Abadi" w:hAnsi="Abadi" w:cstheme="minorHAnsi"/>
          <w:bCs/>
          <w:iCs/>
          <w:sz w:val="20"/>
          <w:szCs w:val="20"/>
          <w:lang w:val="es-ES_tradnl" w:eastAsia="es-ES"/>
        </w:rPr>
        <w:t xml:space="preserve"> </w:t>
      </w:r>
      <w:r w:rsidR="004F35D8" w:rsidRPr="00C80F8E">
        <w:rPr>
          <w:rFonts w:ascii="Abadi" w:eastAsia="Times New Roman" w:hAnsi="Abadi" w:cstheme="minorHAnsi"/>
          <w:iCs/>
          <w:sz w:val="20"/>
          <w:szCs w:val="20"/>
          <w:lang w:val="es-ES_tradnl" w:eastAsia="es-ES"/>
        </w:rPr>
        <w:t xml:space="preserve">Cabe señalar que los saldos en moneda extranjera fueron convertidos a moneda nacional utilizando el tipo de cambio comprador oficial publicado al </w:t>
      </w:r>
      <w:r w:rsidR="00B853DA">
        <w:rPr>
          <w:rFonts w:ascii="Abadi" w:eastAsia="Times New Roman" w:hAnsi="Abadi" w:cstheme="minorHAnsi"/>
          <w:iCs/>
          <w:sz w:val="20"/>
          <w:szCs w:val="20"/>
          <w:lang w:val="es-ES_tradnl" w:eastAsia="es-ES"/>
        </w:rPr>
        <w:t>corte</w:t>
      </w:r>
      <w:r w:rsidR="004F35D8" w:rsidRPr="00C80F8E">
        <w:rPr>
          <w:rFonts w:ascii="Abadi" w:eastAsia="Times New Roman" w:hAnsi="Abadi" w:cstheme="minorHAnsi"/>
          <w:iCs/>
          <w:sz w:val="20"/>
          <w:szCs w:val="20"/>
          <w:lang w:val="es-ES_tradnl" w:eastAsia="es-ES"/>
        </w:rPr>
        <w:t xml:space="preserve"> de cada ejercicio fiscal, siendo de RD$</w:t>
      </w:r>
      <w:r w:rsidR="004F35D8">
        <w:rPr>
          <w:rFonts w:ascii="Abadi" w:eastAsia="Times New Roman" w:hAnsi="Abadi" w:cstheme="minorHAnsi"/>
          <w:iCs/>
          <w:sz w:val="20"/>
          <w:szCs w:val="20"/>
          <w:lang w:val="es-ES_tradnl" w:eastAsia="es-ES"/>
        </w:rPr>
        <w:t>60.08</w:t>
      </w:r>
      <w:r w:rsidR="004F35D8" w:rsidRPr="00C80F8E">
        <w:rPr>
          <w:rFonts w:ascii="Abadi" w:eastAsia="Times New Roman" w:hAnsi="Abadi" w:cstheme="minorHAnsi"/>
          <w:iCs/>
          <w:sz w:val="20"/>
          <w:szCs w:val="20"/>
          <w:lang w:val="es-ES_tradnl" w:eastAsia="es-ES"/>
        </w:rPr>
        <w:t xml:space="preserve"> por cada dólar estadounidense al </w:t>
      </w:r>
      <w:r w:rsidR="004F35D8">
        <w:rPr>
          <w:rFonts w:ascii="Abadi" w:eastAsia="Times New Roman" w:hAnsi="Abadi" w:cstheme="minorHAnsi"/>
          <w:iCs/>
          <w:sz w:val="20"/>
          <w:szCs w:val="20"/>
          <w:lang w:val="es-ES_tradnl" w:eastAsia="es-ES"/>
        </w:rPr>
        <w:t>30 de junio</w:t>
      </w:r>
      <w:r w:rsidR="004F35D8" w:rsidRPr="00C80F8E">
        <w:rPr>
          <w:rFonts w:ascii="Abadi" w:eastAsia="Times New Roman" w:hAnsi="Abadi" w:cstheme="minorHAnsi"/>
          <w:iCs/>
          <w:sz w:val="20"/>
          <w:szCs w:val="20"/>
          <w:lang w:val="es-ES_tradnl" w:eastAsia="es-ES"/>
        </w:rPr>
        <w:t xml:space="preserve"> de 2025 y RD$59.15 al 3</w:t>
      </w:r>
      <w:r w:rsidR="004F35D8">
        <w:rPr>
          <w:rFonts w:ascii="Abadi" w:eastAsia="Times New Roman" w:hAnsi="Abadi" w:cstheme="minorHAnsi"/>
          <w:iCs/>
          <w:sz w:val="20"/>
          <w:szCs w:val="20"/>
          <w:lang w:val="es-ES_tradnl" w:eastAsia="es-ES"/>
        </w:rPr>
        <w:t xml:space="preserve">0 </w:t>
      </w:r>
      <w:r w:rsidR="004F35D8" w:rsidRPr="00C80F8E">
        <w:rPr>
          <w:rFonts w:ascii="Abadi" w:eastAsia="Times New Roman" w:hAnsi="Abadi" w:cstheme="minorHAnsi"/>
          <w:iCs/>
          <w:sz w:val="20"/>
          <w:szCs w:val="20"/>
          <w:lang w:val="es-ES_tradnl" w:eastAsia="es-ES"/>
        </w:rPr>
        <w:t xml:space="preserve">de </w:t>
      </w:r>
      <w:r w:rsidR="004F35D8">
        <w:rPr>
          <w:rFonts w:ascii="Abadi" w:eastAsia="Times New Roman" w:hAnsi="Abadi" w:cstheme="minorHAnsi"/>
          <w:iCs/>
          <w:sz w:val="20"/>
          <w:szCs w:val="20"/>
          <w:lang w:val="es-ES_tradnl" w:eastAsia="es-ES"/>
        </w:rPr>
        <w:t>junio</w:t>
      </w:r>
      <w:r w:rsidR="004F35D8" w:rsidRPr="00C80F8E">
        <w:rPr>
          <w:rFonts w:ascii="Abadi" w:eastAsia="Times New Roman" w:hAnsi="Abadi" w:cstheme="minorHAnsi"/>
          <w:iCs/>
          <w:sz w:val="20"/>
          <w:szCs w:val="20"/>
          <w:lang w:val="es-ES_tradnl" w:eastAsia="es-ES"/>
        </w:rPr>
        <w:t xml:space="preserve"> de 2024.</w:t>
      </w:r>
    </w:p>
    <w:tbl>
      <w:tblPr>
        <w:tblStyle w:val="Tablaconcuadrcula"/>
        <w:tblW w:w="0" w:type="auto"/>
        <w:tblInd w:w="66" w:type="dxa"/>
        <w:tblLook w:val="04A0" w:firstRow="1" w:lastRow="0" w:firstColumn="1" w:lastColumn="0" w:noHBand="0" w:noVBand="1"/>
      </w:tblPr>
      <w:tblGrid>
        <w:gridCol w:w="4891"/>
        <w:gridCol w:w="2268"/>
        <w:gridCol w:w="2125"/>
      </w:tblGrid>
      <w:tr w:rsidR="0030594E" w:rsidRPr="00C80F8E" w14:paraId="74823713" w14:textId="77777777" w:rsidTr="009F5001">
        <w:tc>
          <w:tcPr>
            <w:tcW w:w="4891" w:type="dxa"/>
            <w:shd w:val="clear" w:color="auto" w:fill="0070C0"/>
          </w:tcPr>
          <w:p w14:paraId="3014A2D4" w14:textId="77777777" w:rsidR="0030594E" w:rsidRPr="00C80F8E" w:rsidRDefault="0030594E"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22B77EDA" w14:textId="77777777" w:rsidR="0030594E" w:rsidRPr="00C80F8E" w:rsidRDefault="0030594E"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tcPr>
          <w:p w14:paraId="748A30E2" w14:textId="77777777" w:rsidR="0030594E" w:rsidRPr="00C80F8E" w:rsidRDefault="0030594E"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30594E" w:rsidRPr="00C80F8E" w14:paraId="16D3FB3C" w14:textId="77777777" w:rsidTr="009F5001">
        <w:tc>
          <w:tcPr>
            <w:tcW w:w="4891" w:type="dxa"/>
          </w:tcPr>
          <w:p w14:paraId="509BDDCA" w14:textId="4EAAF423" w:rsidR="0030594E" w:rsidRPr="00C80F8E" w:rsidRDefault="0030594E" w:rsidP="009F5001">
            <w:pPr>
              <w:jc w:val="both"/>
              <w:rPr>
                <w:rFonts w:ascii="Abadi" w:hAnsi="Abadi" w:cstheme="minorHAnsi"/>
                <w:sz w:val="20"/>
                <w:szCs w:val="20"/>
                <w:lang w:val="es-ES_tradnl"/>
              </w:rPr>
            </w:pPr>
            <w:r w:rsidRPr="00C80F8E">
              <w:rPr>
                <w:rFonts w:ascii="Abadi" w:hAnsi="Abadi" w:cstheme="minorHAnsi"/>
                <w:sz w:val="20"/>
                <w:szCs w:val="20"/>
                <w:lang w:val="es-ES_tradnl"/>
              </w:rPr>
              <w:t>Prima por Efecto Cambiario</w:t>
            </w:r>
          </w:p>
        </w:tc>
        <w:tc>
          <w:tcPr>
            <w:tcW w:w="2268" w:type="dxa"/>
            <w:tcBorders>
              <w:bottom w:val="single" w:sz="4" w:space="0" w:color="auto"/>
            </w:tcBorders>
          </w:tcPr>
          <w:p w14:paraId="06987843" w14:textId="77777777" w:rsidR="0030594E" w:rsidRPr="00C80F8E" w:rsidRDefault="0030594E" w:rsidP="009F5001">
            <w:pPr>
              <w:jc w:val="right"/>
              <w:rPr>
                <w:rFonts w:ascii="Abadi" w:hAnsi="Abadi" w:cstheme="minorHAnsi"/>
                <w:sz w:val="20"/>
                <w:szCs w:val="20"/>
                <w:lang w:val="es-ES_tradnl"/>
              </w:rPr>
            </w:pPr>
            <w:r w:rsidRPr="00C80F8E">
              <w:rPr>
                <w:rFonts w:ascii="Abadi" w:hAnsi="Abadi" w:cstheme="minorHAnsi"/>
                <w:sz w:val="20"/>
                <w:szCs w:val="20"/>
                <w:lang w:val="es-ES_tradnl"/>
              </w:rPr>
              <w:t>279,766.41</w:t>
            </w:r>
          </w:p>
        </w:tc>
        <w:tc>
          <w:tcPr>
            <w:tcW w:w="2125" w:type="dxa"/>
            <w:tcBorders>
              <w:bottom w:val="single" w:sz="4" w:space="0" w:color="auto"/>
            </w:tcBorders>
          </w:tcPr>
          <w:p w14:paraId="224A48B5" w14:textId="77777777" w:rsidR="0030594E" w:rsidRPr="00C80F8E" w:rsidRDefault="0030594E" w:rsidP="009F5001">
            <w:pPr>
              <w:jc w:val="right"/>
              <w:rPr>
                <w:rFonts w:ascii="Abadi" w:hAnsi="Abadi" w:cstheme="minorHAnsi"/>
                <w:sz w:val="20"/>
                <w:szCs w:val="20"/>
                <w:lang w:val="es-ES_tradnl"/>
              </w:rPr>
            </w:pPr>
            <w:r w:rsidRPr="00C80F8E">
              <w:rPr>
                <w:rFonts w:ascii="Abadi" w:hAnsi="Abadi" w:cstheme="minorHAnsi"/>
                <w:sz w:val="20"/>
                <w:szCs w:val="20"/>
                <w:lang w:val="es-ES_tradnl"/>
              </w:rPr>
              <w:t>18,223.30</w:t>
            </w:r>
          </w:p>
        </w:tc>
      </w:tr>
      <w:tr w:rsidR="0030594E" w:rsidRPr="00C80F8E" w14:paraId="556E2FE2" w14:textId="77777777" w:rsidTr="009F5001">
        <w:tc>
          <w:tcPr>
            <w:tcW w:w="4891" w:type="dxa"/>
          </w:tcPr>
          <w:p w14:paraId="0B94087D" w14:textId="6CF6EE55" w:rsidR="0030594E" w:rsidRPr="00C80F8E" w:rsidRDefault="00A67A75" w:rsidP="0030594E">
            <w:pPr>
              <w:jc w:val="both"/>
              <w:rPr>
                <w:rFonts w:ascii="Abadi" w:hAnsi="Abadi" w:cstheme="minorHAnsi"/>
                <w:sz w:val="20"/>
                <w:szCs w:val="20"/>
                <w:lang w:val="es-ES_tradnl"/>
              </w:rPr>
            </w:pPr>
            <w:r w:rsidRPr="00C80F8E">
              <w:rPr>
                <w:rFonts w:ascii="Abadi" w:hAnsi="Abadi" w:cstheme="minorHAnsi"/>
                <w:sz w:val="20"/>
                <w:szCs w:val="20"/>
                <w:lang w:val="es-ES_tradnl"/>
              </w:rPr>
              <w:t>Total,</w:t>
            </w:r>
            <w:r w:rsidR="0030594E" w:rsidRPr="00C80F8E">
              <w:rPr>
                <w:rFonts w:ascii="Abadi" w:hAnsi="Abadi" w:cstheme="minorHAnsi"/>
                <w:sz w:val="20"/>
                <w:szCs w:val="20"/>
                <w:lang w:val="es-ES_tradnl"/>
              </w:rPr>
              <w:t xml:space="preserve"> Prima por Efecto Cambiario</w:t>
            </w:r>
          </w:p>
        </w:tc>
        <w:tc>
          <w:tcPr>
            <w:tcW w:w="2268" w:type="dxa"/>
            <w:tcBorders>
              <w:top w:val="single" w:sz="12" w:space="0" w:color="auto"/>
              <w:bottom w:val="double" w:sz="4" w:space="0" w:color="auto"/>
            </w:tcBorders>
          </w:tcPr>
          <w:p w14:paraId="49165709" w14:textId="6EC70410" w:rsidR="0030594E" w:rsidRPr="00C80F8E" w:rsidRDefault="0030594E" w:rsidP="0030594E">
            <w:pPr>
              <w:jc w:val="right"/>
              <w:rPr>
                <w:rFonts w:ascii="Abadi" w:hAnsi="Abadi" w:cstheme="minorHAnsi"/>
                <w:b/>
                <w:bCs/>
                <w:sz w:val="20"/>
                <w:szCs w:val="20"/>
                <w:lang w:val="es-ES_tradnl"/>
              </w:rPr>
            </w:pPr>
            <w:r w:rsidRPr="00C80F8E">
              <w:rPr>
                <w:rFonts w:ascii="Abadi" w:hAnsi="Abadi" w:cstheme="minorHAnsi"/>
                <w:b/>
                <w:bCs/>
                <w:sz w:val="20"/>
                <w:szCs w:val="20"/>
                <w:lang w:val="es-ES_tradnl"/>
              </w:rPr>
              <w:t>279,766.41</w:t>
            </w:r>
          </w:p>
        </w:tc>
        <w:tc>
          <w:tcPr>
            <w:tcW w:w="2125" w:type="dxa"/>
            <w:tcBorders>
              <w:top w:val="single" w:sz="12" w:space="0" w:color="auto"/>
              <w:bottom w:val="double" w:sz="4" w:space="0" w:color="auto"/>
            </w:tcBorders>
          </w:tcPr>
          <w:p w14:paraId="7915D3E0" w14:textId="5744101F" w:rsidR="0030594E" w:rsidRPr="00C80F8E" w:rsidRDefault="0030594E" w:rsidP="0030594E">
            <w:pPr>
              <w:jc w:val="right"/>
              <w:rPr>
                <w:rFonts w:ascii="Abadi" w:hAnsi="Abadi" w:cstheme="minorHAnsi"/>
                <w:b/>
                <w:bCs/>
                <w:sz w:val="20"/>
                <w:szCs w:val="20"/>
                <w:lang w:val="es-ES_tradnl"/>
              </w:rPr>
            </w:pPr>
            <w:r w:rsidRPr="00C80F8E">
              <w:rPr>
                <w:rFonts w:ascii="Abadi" w:hAnsi="Abadi" w:cstheme="minorHAnsi"/>
                <w:b/>
                <w:bCs/>
                <w:sz w:val="20"/>
                <w:szCs w:val="20"/>
                <w:lang w:val="es-ES_tradnl"/>
              </w:rPr>
              <w:t>18,223.30</w:t>
            </w:r>
          </w:p>
        </w:tc>
      </w:tr>
    </w:tbl>
    <w:p w14:paraId="52E04BD3" w14:textId="77777777" w:rsidR="004D0198" w:rsidRPr="00C80F8E" w:rsidRDefault="004D0198" w:rsidP="007C3426">
      <w:pPr>
        <w:spacing w:line="240" w:lineRule="auto"/>
        <w:contextualSpacing/>
        <w:jc w:val="both"/>
        <w:rPr>
          <w:rFonts w:ascii="Abadi" w:hAnsi="Abadi" w:cstheme="minorHAnsi"/>
          <w:bCs/>
          <w:iCs/>
          <w:sz w:val="20"/>
          <w:szCs w:val="20"/>
          <w:lang w:val="es-ES_tradnl"/>
        </w:rPr>
      </w:pPr>
    </w:p>
    <w:p w14:paraId="4F609CD1" w14:textId="77777777" w:rsidR="00F03C4D" w:rsidRPr="00F03C4D" w:rsidRDefault="00F03C4D" w:rsidP="00F03C4D">
      <w:pPr>
        <w:spacing w:line="276" w:lineRule="auto"/>
        <w:jc w:val="both"/>
        <w:rPr>
          <w:rFonts w:ascii="Abadi" w:hAnsi="Abadi" w:cstheme="minorHAnsi"/>
          <w:bCs/>
          <w:iCs/>
          <w:sz w:val="20"/>
          <w:szCs w:val="20"/>
          <w:lang w:val="es-ES_tradnl"/>
        </w:rPr>
      </w:pPr>
      <w:r w:rsidRPr="00F03C4D">
        <w:rPr>
          <w:rFonts w:ascii="Abadi" w:hAnsi="Abadi" w:cstheme="minorHAnsi"/>
          <w:bCs/>
          <w:iCs/>
          <w:sz w:val="20"/>
          <w:szCs w:val="20"/>
          <w:lang w:val="es-ES_tradnl"/>
        </w:rPr>
        <w:t>Para el cálculo de los efectos por diferencia cambiaria, se utilizaron las tasas oficiales de compra publicadas por el Banco Central de la República Dominicana (BCRD). En particular:</w:t>
      </w:r>
    </w:p>
    <w:p w14:paraId="486CE554" w14:textId="77777777" w:rsidR="00F03C4D" w:rsidRPr="00F03C4D" w:rsidRDefault="00F03C4D" w:rsidP="00A7606E">
      <w:pPr>
        <w:numPr>
          <w:ilvl w:val="0"/>
          <w:numId w:val="6"/>
        </w:numPr>
        <w:spacing w:line="276" w:lineRule="auto"/>
        <w:jc w:val="both"/>
        <w:rPr>
          <w:rFonts w:ascii="Abadi" w:hAnsi="Abadi" w:cstheme="minorHAnsi"/>
          <w:bCs/>
          <w:iCs/>
          <w:sz w:val="20"/>
          <w:szCs w:val="20"/>
          <w:lang w:val="es-ES_tradnl"/>
        </w:rPr>
      </w:pPr>
      <w:r w:rsidRPr="00F03C4D">
        <w:rPr>
          <w:rFonts w:ascii="Abadi" w:hAnsi="Abadi" w:cstheme="minorHAnsi"/>
          <w:bCs/>
          <w:iCs/>
          <w:sz w:val="20"/>
          <w:szCs w:val="20"/>
          <w:lang w:val="es-ES_tradnl"/>
        </w:rPr>
        <w:t>La tasa de cambio al 30 de junio de 2025 fue de RD$60.08/USD</w:t>
      </w:r>
    </w:p>
    <w:p w14:paraId="14A69478" w14:textId="77777777" w:rsidR="00F03C4D" w:rsidRPr="00F03C4D" w:rsidRDefault="00F03C4D" w:rsidP="00A7606E">
      <w:pPr>
        <w:numPr>
          <w:ilvl w:val="0"/>
          <w:numId w:val="6"/>
        </w:numPr>
        <w:spacing w:line="276" w:lineRule="auto"/>
        <w:jc w:val="both"/>
        <w:rPr>
          <w:rFonts w:ascii="Abadi" w:hAnsi="Abadi" w:cstheme="minorHAnsi"/>
          <w:bCs/>
          <w:iCs/>
          <w:sz w:val="20"/>
          <w:szCs w:val="20"/>
          <w:lang w:val="es-ES_tradnl"/>
        </w:rPr>
      </w:pPr>
      <w:r w:rsidRPr="00F03C4D">
        <w:rPr>
          <w:rFonts w:ascii="Abadi" w:hAnsi="Abadi" w:cstheme="minorHAnsi"/>
          <w:bCs/>
          <w:iCs/>
          <w:sz w:val="20"/>
          <w:szCs w:val="20"/>
          <w:lang w:val="es-ES_tradnl"/>
        </w:rPr>
        <w:t>El promedio mensual de compra para junio de 2025 fue de RD$60.08/USD</w:t>
      </w:r>
    </w:p>
    <w:p w14:paraId="559A87F9" w14:textId="77777777" w:rsidR="00F03C4D" w:rsidRPr="00F03C4D" w:rsidRDefault="00F03C4D" w:rsidP="00A7606E">
      <w:pPr>
        <w:numPr>
          <w:ilvl w:val="0"/>
          <w:numId w:val="6"/>
        </w:numPr>
        <w:spacing w:line="276" w:lineRule="auto"/>
        <w:jc w:val="both"/>
        <w:rPr>
          <w:rFonts w:ascii="Abadi" w:hAnsi="Abadi" w:cstheme="minorHAnsi"/>
          <w:bCs/>
          <w:iCs/>
          <w:sz w:val="20"/>
          <w:szCs w:val="20"/>
          <w:lang w:val="es-ES_tradnl"/>
        </w:rPr>
      </w:pPr>
      <w:r w:rsidRPr="00F03C4D">
        <w:rPr>
          <w:rFonts w:ascii="Abadi" w:hAnsi="Abadi" w:cstheme="minorHAnsi"/>
          <w:bCs/>
          <w:iCs/>
          <w:sz w:val="20"/>
          <w:szCs w:val="20"/>
          <w:lang w:val="es-ES_tradnl"/>
        </w:rPr>
        <w:t>En comparación, el promedio mensual registrado por el BCRD para junio de 2024 fue de RD$59.15/USD</w:t>
      </w:r>
    </w:p>
    <w:p w14:paraId="245F4722" w14:textId="77777777" w:rsidR="00F03C4D" w:rsidRPr="00C80F8E" w:rsidRDefault="00F03C4D" w:rsidP="00F03C4D">
      <w:pPr>
        <w:spacing w:line="276" w:lineRule="auto"/>
        <w:jc w:val="both"/>
        <w:rPr>
          <w:rFonts w:ascii="Abadi" w:hAnsi="Abadi" w:cstheme="minorHAnsi"/>
          <w:bCs/>
          <w:iCs/>
          <w:sz w:val="20"/>
          <w:szCs w:val="20"/>
          <w:lang w:val="es-ES_tradnl"/>
        </w:rPr>
      </w:pPr>
      <w:r w:rsidRPr="00F03C4D">
        <w:rPr>
          <w:rFonts w:ascii="Abadi" w:hAnsi="Abadi" w:cstheme="minorHAnsi"/>
          <w:bCs/>
          <w:iCs/>
          <w:sz w:val="20"/>
          <w:szCs w:val="20"/>
          <w:lang w:val="es-ES_tradnl"/>
        </w:rPr>
        <w:t>Estas diferencias reflejan la apreciación del tipo de cambio en relación con los saldos mantenidos en dólares estadounidenses y, en consecuencia, han generado una ganancia cambiaria registrada conforme a lo establecido por la NICSP 4 – Efectivo y la NICSP 9 – Ingresos por Transacciones sin Contraprestación.</w:t>
      </w:r>
    </w:p>
    <w:p w14:paraId="36EB0129" w14:textId="4AC1462A" w:rsidR="002B2F4F" w:rsidRPr="002B2F4F" w:rsidRDefault="002B2F4F" w:rsidP="00E87B3E">
      <w:pPr>
        <w:spacing w:line="276" w:lineRule="auto"/>
        <w:jc w:val="both"/>
        <w:rPr>
          <w:rFonts w:ascii="Abadi" w:hAnsi="Abadi" w:cstheme="minorHAnsi"/>
          <w:bCs/>
          <w:iCs/>
          <w:sz w:val="20"/>
          <w:szCs w:val="20"/>
          <w:lang w:val="es-ES_tradnl"/>
        </w:rPr>
      </w:pPr>
      <w:r w:rsidRPr="002B2F4F">
        <w:rPr>
          <w:rFonts w:ascii="Abadi" w:hAnsi="Abadi" w:cstheme="minorHAnsi"/>
          <w:bCs/>
          <w:iCs/>
          <w:sz w:val="20"/>
          <w:szCs w:val="20"/>
          <w:lang w:val="es-ES_tradnl"/>
        </w:rPr>
        <w:t xml:space="preserve">De acuerdo con los lineamientos establecidos por la Dirección General de Contabilidad Gubernamental (DIGECOG) y su plataforma CONSOL+, el tratamiento contable y presentación de los efectos cambiarios se realiza de forma consolidada en el Estado de Rendimiento </w:t>
      </w:r>
      <w:r w:rsidR="00FB3091" w:rsidRPr="00C80F8E">
        <w:rPr>
          <w:rFonts w:ascii="Abadi" w:hAnsi="Abadi" w:cstheme="minorHAnsi"/>
          <w:bCs/>
          <w:iCs/>
          <w:sz w:val="20"/>
          <w:szCs w:val="20"/>
          <w:lang w:val="es-ES_tradnl"/>
        </w:rPr>
        <w:t>como un</w:t>
      </w:r>
      <w:r w:rsidRPr="002B2F4F">
        <w:rPr>
          <w:rFonts w:ascii="Abadi" w:hAnsi="Abadi" w:cstheme="minorHAnsi"/>
          <w:bCs/>
          <w:iCs/>
          <w:sz w:val="20"/>
          <w:szCs w:val="20"/>
          <w:lang w:val="es-ES_tradnl"/>
        </w:rPr>
        <w:t xml:space="preserve"> </w:t>
      </w:r>
      <w:r w:rsidR="00FB3091" w:rsidRPr="00C80F8E">
        <w:rPr>
          <w:rFonts w:ascii="Abadi" w:hAnsi="Abadi" w:cstheme="minorHAnsi"/>
          <w:bCs/>
          <w:iCs/>
          <w:sz w:val="20"/>
          <w:szCs w:val="20"/>
          <w:lang w:val="es-ES_tradnl"/>
        </w:rPr>
        <w:t>v</w:t>
      </w:r>
      <w:r w:rsidRPr="002B2F4F">
        <w:rPr>
          <w:rFonts w:ascii="Abadi" w:hAnsi="Abadi" w:cstheme="minorHAnsi"/>
          <w:bCs/>
          <w:iCs/>
          <w:sz w:val="20"/>
          <w:szCs w:val="20"/>
          <w:lang w:val="es-ES_tradnl"/>
        </w:rPr>
        <w:t xml:space="preserve">alor </w:t>
      </w:r>
      <w:r w:rsidR="00FB3091" w:rsidRPr="00C80F8E">
        <w:rPr>
          <w:rFonts w:ascii="Abadi" w:hAnsi="Abadi" w:cstheme="minorHAnsi"/>
          <w:bCs/>
          <w:iCs/>
          <w:sz w:val="20"/>
          <w:szCs w:val="20"/>
          <w:lang w:val="es-ES_tradnl"/>
        </w:rPr>
        <w:t>n</w:t>
      </w:r>
      <w:r w:rsidRPr="002B2F4F">
        <w:rPr>
          <w:rFonts w:ascii="Abadi" w:hAnsi="Abadi" w:cstheme="minorHAnsi"/>
          <w:bCs/>
          <w:iCs/>
          <w:sz w:val="20"/>
          <w:szCs w:val="20"/>
          <w:lang w:val="es-ES_tradnl"/>
        </w:rPr>
        <w:t>eto, considerando tanto las primas positivas como las pérdidas por diferencia de cambio.</w:t>
      </w:r>
    </w:p>
    <w:p w14:paraId="709845B4" w14:textId="77777777" w:rsidR="002B2F4F" w:rsidRPr="002B2F4F" w:rsidRDefault="002B2F4F" w:rsidP="00E87B3E">
      <w:pPr>
        <w:spacing w:line="276" w:lineRule="auto"/>
        <w:jc w:val="both"/>
        <w:rPr>
          <w:rFonts w:ascii="Abadi" w:hAnsi="Abadi" w:cstheme="minorHAnsi"/>
          <w:bCs/>
          <w:iCs/>
          <w:sz w:val="20"/>
          <w:szCs w:val="20"/>
          <w:lang w:val="es-ES_tradnl"/>
        </w:rPr>
      </w:pPr>
      <w:r w:rsidRPr="002B2F4F">
        <w:rPr>
          <w:rFonts w:ascii="Abadi" w:hAnsi="Abadi" w:cstheme="minorHAnsi"/>
          <w:bCs/>
          <w:iCs/>
          <w:sz w:val="20"/>
          <w:szCs w:val="20"/>
          <w:lang w:val="es-ES_tradnl"/>
        </w:rPr>
        <w:t>En ese sentido, aunque en los registros internos de la entidad se reportan de manera desagregada los ingresos por prima cambiaria favorable y las pérdidas cambiarias, el aplicativo CONSOL+ compensa ambos saldos y presenta únicamente el resultado neto por efectos del tipo de cambio, en cumplimiento con el modelo de presentación previsto por el Manual de Estados Financieros Gubernamentales y las directrices de la NICSP 4 y NICSP 1.</w:t>
      </w:r>
    </w:p>
    <w:p w14:paraId="1CB6F2FE" w14:textId="77777777" w:rsidR="002B2F4F" w:rsidRPr="002B2F4F" w:rsidRDefault="002B2F4F" w:rsidP="00E87B3E">
      <w:pPr>
        <w:spacing w:line="276" w:lineRule="auto"/>
        <w:jc w:val="both"/>
        <w:rPr>
          <w:rFonts w:ascii="Abadi" w:hAnsi="Abadi" w:cstheme="minorHAnsi"/>
          <w:bCs/>
          <w:iCs/>
          <w:sz w:val="20"/>
          <w:szCs w:val="20"/>
          <w:lang w:val="es-ES_tradnl"/>
        </w:rPr>
      </w:pPr>
      <w:r w:rsidRPr="002B2F4F">
        <w:rPr>
          <w:rFonts w:ascii="Abadi" w:hAnsi="Abadi" w:cstheme="minorHAnsi"/>
          <w:bCs/>
          <w:iCs/>
          <w:sz w:val="20"/>
          <w:szCs w:val="20"/>
          <w:lang w:val="es-ES_tradnl"/>
        </w:rPr>
        <w:t>Esta presentación tiene por objetivo reflejar el impacto neto de las variaciones en la tasa de cambio sobre las disponibilidades en moneda extranjera, conforme al principio de relevancia y claridad de la información financiera aplicable al sector público.</w:t>
      </w:r>
    </w:p>
    <w:p w14:paraId="1CDB08EC" w14:textId="086812B8" w:rsidR="00352662" w:rsidRPr="00C80F8E" w:rsidRDefault="004A0883" w:rsidP="00352662">
      <w:pPr>
        <w:spacing w:line="360" w:lineRule="auto"/>
        <w:jc w:val="both"/>
        <w:rPr>
          <w:rFonts w:ascii="Abadi" w:hAnsi="Abadi" w:cstheme="minorHAnsi"/>
          <w:b/>
          <w:iCs/>
          <w:sz w:val="20"/>
          <w:szCs w:val="20"/>
          <w:lang w:val="es-ES_tradnl"/>
        </w:rPr>
      </w:pPr>
      <w:r w:rsidRPr="00C80F8E">
        <w:rPr>
          <w:rFonts w:ascii="Abadi" w:hAnsi="Abadi" w:cstheme="minorHAnsi"/>
          <w:b/>
          <w:iCs/>
          <w:sz w:val="20"/>
          <w:szCs w:val="20"/>
          <w:lang w:val="es-ES_tradnl"/>
        </w:rPr>
        <w:t>2</w:t>
      </w:r>
      <w:r w:rsidR="00C211D3" w:rsidRPr="00C80F8E">
        <w:rPr>
          <w:rFonts w:ascii="Abadi" w:hAnsi="Abadi" w:cstheme="minorHAnsi"/>
          <w:b/>
          <w:iCs/>
          <w:sz w:val="20"/>
          <w:szCs w:val="20"/>
          <w:lang w:val="es-ES_tradnl"/>
        </w:rPr>
        <w:t>0</w:t>
      </w:r>
      <w:r w:rsidR="00352662" w:rsidRPr="00C80F8E">
        <w:rPr>
          <w:rFonts w:ascii="Abadi" w:hAnsi="Abadi" w:cstheme="minorHAnsi"/>
          <w:b/>
          <w:iCs/>
          <w:sz w:val="20"/>
          <w:szCs w:val="20"/>
          <w:lang w:val="es-ES_tradnl"/>
        </w:rPr>
        <w:t>.3 Otros Ingresos.</w:t>
      </w:r>
    </w:p>
    <w:p w14:paraId="4DD9737C" w14:textId="1BEB31B8" w:rsidR="00842E5F" w:rsidRPr="00C80F8E" w:rsidRDefault="00842E5F" w:rsidP="00E87B3E">
      <w:pPr>
        <w:spacing w:line="276" w:lineRule="auto"/>
        <w:jc w:val="both"/>
        <w:rPr>
          <w:rFonts w:ascii="Abadi" w:hAnsi="Abadi" w:cstheme="minorHAnsi"/>
          <w:bCs/>
          <w:iCs/>
          <w:sz w:val="20"/>
          <w:szCs w:val="20"/>
          <w:lang w:val="es-ES_tradnl" w:eastAsia="es-ES"/>
        </w:rPr>
      </w:pPr>
      <w:r w:rsidRPr="00C80F8E">
        <w:rPr>
          <w:rFonts w:ascii="Abadi" w:hAnsi="Abadi" w:cstheme="minorHAnsi"/>
          <w:bCs/>
          <w:iCs/>
          <w:sz w:val="20"/>
          <w:szCs w:val="20"/>
          <w:lang w:val="es-ES_tradnl" w:eastAsia="es-ES"/>
        </w:rPr>
        <w:t>Al 30 de junio de 2025, la partida de Otros Ingresos presenta un balance de RD$931,441.00, mientras que al 30 de junio de 2024 fue de RD$337,643.15. Estos ingresos corresponden a créditos por concepto de licencias por maternidad y enfermedad común acreditados por las Administradoras de Riesgos de Salud (ARS), así como a ingresos por certificaciones, rectificaciones tributarias provenientes de la Dirección General de Impuestos Internos (DGII) y otros conceptos diversos.</w:t>
      </w:r>
    </w:p>
    <w:p w14:paraId="19F20008" w14:textId="1E9AE273" w:rsidR="00352662" w:rsidRPr="00C80F8E" w:rsidRDefault="00BD74BE" w:rsidP="000B3363">
      <w:pPr>
        <w:jc w:val="both"/>
        <w:rPr>
          <w:rFonts w:ascii="Abadi" w:hAnsi="Abadi" w:cstheme="minorHAnsi"/>
          <w:bCs/>
          <w:iCs/>
          <w:sz w:val="20"/>
          <w:szCs w:val="20"/>
          <w:lang w:val="es-ES_tradnl"/>
        </w:rPr>
      </w:pPr>
      <w:r w:rsidRPr="00C80F8E">
        <w:rPr>
          <w:rFonts w:ascii="Abadi" w:hAnsi="Abadi" w:cstheme="minorHAnsi"/>
          <w:bCs/>
          <w:iCs/>
          <w:sz w:val="20"/>
          <w:szCs w:val="20"/>
          <w:lang w:val="es-ES_tradnl" w:eastAsia="es-ES"/>
        </w:rPr>
        <w:lastRenderedPageBreak/>
        <w:t>Por su parte, en el año 2024 se registró un ingreso por Transferencias Corrientes de Instituciones de la Seguridad Social por un monto de RD$2,433,314.96, derivado del convenio interinstitucional entre la Superintendencia de Salud y Riesgos Laborales (SISALRIL) y la Superintendencia de Pensiones (SIPEN) para la contratación conjunta de una consultoría especializada destinada a la actualización del Manual de Evaluación y Calificación del Grado de Discapacidad. El monto total del convenio ascendió a US$83,561.64, del cual la SISALRIL aportó el 50% equivalente a US$41,780.82, lo que representó RD$2,433,314.96 al tipo de cambio de RD$58.24/USD.</w:t>
      </w:r>
    </w:p>
    <w:tbl>
      <w:tblPr>
        <w:tblStyle w:val="Tablaconcuadrcula"/>
        <w:tblW w:w="0" w:type="auto"/>
        <w:tblInd w:w="66" w:type="dxa"/>
        <w:tblLook w:val="04A0" w:firstRow="1" w:lastRow="0" w:firstColumn="1" w:lastColumn="0" w:noHBand="0" w:noVBand="1"/>
      </w:tblPr>
      <w:tblGrid>
        <w:gridCol w:w="4891"/>
        <w:gridCol w:w="2268"/>
        <w:gridCol w:w="2125"/>
      </w:tblGrid>
      <w:tr w:rsidR="001E1D7A" w:rsidRPr="00C80F8E" w14:paraId="4CA0C22E" w14:textId="77777777" w:rsidTr="009F5001">
        <w:tc>
          <w:tcPr>
            <w:tcW w:w="4891" w:type="dxa"/>
            <w:shd w:val="clear" w:color="auto" w:fill="0070C0"/>
          </w:tcPr>
          <w:p w14:paraId="3BDA94A9" w14:textId="77777777" w:rsidR="001E1D7A" w:rsidRPr="00C80F8E" w:rsidRDefault="001E1D7A"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4B85E6D1" w14:textId="77777777" w:rsidR="001E1D7A" w:rsidRPr="00C80F8E" w:rsidRDefault="001E1D7A"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tcPr>
          <w:p w14:paraId="6AF4CE71" w14:textId="77777777" w:rsidR="001E1D7A" w:rsidRPr="00C80F8E" w:rsidRDefault="001E1D7A" w:rsidP="009F500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1E1D7A" w:rsidRPr="00C80F8E" w14:paraId="13057485" w14:textId="77777777" w:rsidTr="009F5001">
        <w:tc>
          <w:tcPr>
            <w:tcW w:w="4891" w:type="dxa"/>
          </w:tcPr>
          <w:p w14:paraId="2C348C6D" w14:textId="271C3DD2" w:rsidR="001E1D7A" w:rsidRPr="00C80F8E" w:rsidRDefault="00A23974" w:rsidP="009F5001">
            <w:pPr>
              <w:jc w:val="both"/>
              <w:rPr>
                <w:rFonts w:ascii="Abadi" w:hAnsi="Abadi" w:cstheme="minorHAnsi"/>
                <w:sz w:val="20"/>
                <w:szCs w:val="20"/>
                <w:lang w:val="es-ES_tradnl"/>
              </w:rPr>
            </w:pPr>
            <w:r w:rsidRPr="00C80F8E">
              <w:rPr>
                <w:rFonts w:ascii="Abadi" w:hAnsi="Abadi" w:cstheme="minorHAnsi"/>
                <w:sz w:val="20"/>
                <w:szCs w:val="20"/>
                <w:lang w:val="es-ES_tradnl"/>
              </w:rPr>
              <w:t>Otros Ingresos</w:t>
            </w:r>
          </w:p>
        </w:tc>
        <w:tc>
          <w:tcPr>
            <w:tcW w:w="2268" w:type="dxa"/>
            <w:tcBorders>
              <w:bottom w:val="single" w:sz="4" w:space="0" w:color="auto"/>
            </w:tcBorders>
          </w:tcPr>
          <w:p w14:paraId="76FBFD59" w14:textId="6EF5EF79" w:rsidR="001E1D7A" w:rsidRPr="00C80F8E" w:rsidRDefault="00CB018C" w:rsidP="009F5001">
            <w:pPr>
              <w:jc w:val="right"/>
              <w:rPr>
                <w:rFonts w:ascii="Abadi" w:hAnsi="Abadi" w:cstheme="minorHAnsi"/>
                <w:sz w:val="20"/>
                <w:szCs w:val="20"/>
                <w:lang w:val="es-ES_tradnl"/>
              </w:rPr>
            </w:pPr>
            <w:r w:rsidRPr="00C80F8E">
              <w:rPr>
                <w:rFonts w:ascii="Abadi" w:hAnsi="Abadi" w:cstheme="minorHAnsi"/>
                <w:sz w:val="20"/>
                <w:szCs w:val="20"/>
                <w:lang w:val="es-ES_tradnl"/>
              </w:rPr>
              <w:t>931</w:t>
            </w:r>
            <w:r w:rsidR="00222F22" w:rsidRPr="00C80F8E">
              <w:rPr>
                <w:rFonts w:ascii="Abadi" w:hAnsi="Abadi" w:cstheme="minorHAnsi"/>
                <w:sz w:val="20"/>
                <w:szCs w:val="20"/>
                <w:lang w:val="es-ES_tradnl"/>
              </w:rPr>
              <w:t>,</w:t>
            </w:r>
            <w:r w:rsidRPr="00C80F8E">
              <w:rPr>
                <w:rFonts w:ascii="Abadi" w:hAnsi="Abadi" w:cstheme="minorHAnsi"/>
                <w:sz w:val="20"/>
                <w:szCs w:val="20"/>
                <w:lang w:val="es-ES_tradnl"/>
              </w:rPr>
              <w:t>441.00</w:t>
            </w:r>
          </w:p>
        </w:tc>
        <w:tc>
          <w:tcPr>
            <w:tcW w:w="2125" w:type="dxa"/>
            <w:tcBorders>
              <w:bottom w:val="single" w:sz="4" w:space="0" w:color="auto"/>
            </w:tcBorders>
          </w:tcPr>
          <w:p w14:paraId="3C3331AC" w14:textId="6BF0E5CC" w:rsidR="001E1D7A" w:rsidRPr="00C80F8E" w:rsidRDefault="00222F22" w:rsidP="009F5001">
            <w:pPr>
              <w:jc w:val="right"/>
              <w:rPr>
                <w:rFonts w:ascii="Abadi" w:hAnsi="Abadi" w:cstheme="minorHAnsi"/>
                <w:sz w:val="20"/>
                <w:szCs w:val="20"/>
                <w:lang w:val="es-ES_tradnl"/>
              </w:rPr>
            </w:pPr>
            <w:r w:rsidRPr="00C80F8E">
              <w:rPr>
                <w:rFonts w:ascii="Abadi" w:hAnsi="Abadi" w:cstheme="minorHAnsi"/>
                <w:sz w:val="20"/>
                <w:szCs w:val="20"/>
                <w:lang w:val="es-ES_tradnl"/>
              </w:rPr>
              <w:t>337,643.15</w:t>
            </w:r>
          </w:p>
        </w:tc>
      </w:tr>
      <w:tr w:rsidR="0029073D" w:rsidRPr="00C80F8E" w14:paraId="6EEFB7E1" w14:textId="77777777" w:rsidTr="009F5001">
        <w:tc>
          <w:tcPr>
            <w:tcW w:w="4891" w:type="dxa"/>
          </w:tcPr>
          <w:p w14:paraId="5353CE68" w14:textId="46BE5C32" w:rsidR="0029073D" w:rsidRPr="00C80F8E" w:rsidRDefault="0029073D" w:rsidP="0029073D">
            <w:pPr>
              <w:jc w:val="both"/>
              <w:rPr>
                <w:rFonts w:ascii="Abadi" w:hAnsi="Abadi" w:cstheme="minorHAnsi"/>
                <w:sz w:val="20"/>
                <w:szCs w:val="20"/>
                <w:lang w:val="es-ES_tradnl"/>
              </w:rPr>
            </w:pPr>
            <w:r w:rsidRPr="00C80F8E">
              <w:rPr>
                <w:rFonts w:ascii="Abadi" w:hAnsi="Abadi" w:cstheme="minorHAnsi"/>
                <w:sz w:val="20"/>
                <w:szCs w:val="20"/>
                <w:lang w:val="es-ES_tradnl"/>
              </w:rPr>
              <w:t>Transferencias Corrientes de Inst. Seguridad Social</w:t>
            </w:r>
          </w:p>
        </w:tc>
        <w:tc>
          <w:tcPr>
            <w:tcW w:w="2268" w:type="dxa"/>
            <w:tcBorders>
              <w:bottom w:val="single" w:sz="12" w:space="0" w:color="auto"/>
            </w:tcBorders>
          </w:tcPr>
          <w:p w14:paraId="51225F8B" w14:textId="4BAB2237" w:rsidR="0029073D" w:rsidRPr="00C80F8E" w:rsidRDefault="00CB018C" w:rsidP="0029073D">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bottom w:val="single" w:sz="12" w:space="0" w:color="auto"/>
            </w:tcBorders>
          </w:tcPr>
          <w:p w14:paraId="2EB849B0" w14:textId="584630F1" w:rsidR="0029073D" w:rsidRPr="00C80F8E" w:rsidRDefault="00222F22" w:rsidP="0029073D">
            <w:pPr>
              <w:jc w:val="right"/>
              <w:rPr>
                <w:rFonts w:ascii="Abadi" w:hAnsi="Abadi" w:cstheme="minorHAnsi"/>
                <w:sz w:val="20"/>
                <w:szCs w:val="20"/>
                <w:lang w:val="es-ES_tradnl"/>
              </w:rPr>
            </w:pPr>
            <w:r w:rsidRPr="00C80F8E">
              <w:rPr>
                <w:rFonts w:ascii="Abadi" w:hAnsi="Abadi" w:cstheme="minorHAnsi"/>
                <w:sz w:val="20"/>
                <w:szCs w:val="20"/>
                <w:lang w:val="es-ES_tradnl"/>
              </w:rPr>
              <w:t>2,433,314.96</w:t>
            </w:r>
          </w:p>
        </w:tc>
      </w:tr>
      <w:tr w:rsidR="0029073D" w:rsidRPr="00C80F8E" w14:paraId="06F36DDF" w14:textId="77777777" w:rsidTr="009F5001">
        <w:tc>
          <w:tcPr>
            <w:tcW w:w="4891" w:type="dxa"/>
          </w:tcPr>
          <w:p w14:paraId="7D6E35DC" w14:textId="77777777" w:rsidR="0029073D" w:rsidRPr="00C80F8E" w:rsidRDefault="0029073D" w:rsidP="0029073D">
            <w:pPr>
              <w:jc w:val="both"/>
              <w:rPr>
                <w:rFonts w:ascii="Abadi" w:hAnsi="Abadi" w:cstheme="minorHAnsi"/>
                <w:sz w:val="20"/>
                <w:szCs w:val="20"/>
                <w:lang w:val="es-ES_tradnl"/>
              </w:rPr>
            </w:pPr>
            <w:proofErr w:type="gramStart"/>
            <w:r w:rsidRPr="00C80F8E">
              <w:rPr>
                <w:rFonts w:ascii="Abadi" w:hAnsi="Abadi" w:cstheme="minorHAnsi"/>
                <w:sz w:val="20"/>
                <w:szCs w:val="20"/>
                <w:lang w:val="es-ES_tradnl"/>
              </w:rPr>
              <w:t>Total</w:t>
            </w:r>
            <w:proofErr w:type="gramEnd"/>
            <w:r w:rsidRPr="00C80F8E">
              <w:rPr>
                <w:rFonts w:ascii="Abadi" w:hAnsi="Abadi" w:cstheme="minorHAnsi"/>
                <w:bCs/>
                <w:sz w:val="20"/>
                <w:szCs w:val="20"/>
                <w:lang w:val="es-ES_tradnl"/>
              </w:rPr>
              <w:t xml:space="preserve"> ingresos recargos, multas y otros ingresos</w:t>
            </w:r>
          </w:p>
        </w:tc>
        <w:tc>
          <w:tcPr>
            <w:tcW w:w="2268" w:type="dxa"/>
            <w:tcBorders>
              <w:top w:val="single" w:sz="12" w:space="0" w:color="auto"/>
              <w:bottom w:val="double" w:sz="4" w:space="0" w:color="auto"/>
            </w:tcBorders>
          </w:tcPr>
          <w:p w14:paraId="08153455" w14:textId="5033554B" w:rsidR="0029073D" w:rsidRPr="00C80F8E" w:rsidRDefault="00B2411B" w:rsidP="0029073D">
            <w:pPr>
              <w:jc w:val="right"/>
              <w:rPr>
                <w:rFonts w:ascii="Abadi" w:hAnsi="Abadi" w:cstheme="minorHAnsi"/>
                <w:b/>
                <w:bCs/>
                <w:sz w:val="20"/>
                <w:szCs w:val="20"/>
                <w:lang w:val="es-ES_tradnl"/>
              </w:rPr>
            </w:pPr>
            <w:r w:rsidRPr="00C80F8E">
              <w:rPr>
                <w:rFonts w:ascii="Abadi" w:hAnsi="Abadi" w:cstheme="minorHAnsi"/>
                <w:b/>
                <w:bCs/>
                <w:sz w:val="20"/>
                <w:szCs w:val="20"/>
                <w:lang w:val="es-ES_tradnl"/>
              </w:rPr>
              <w:t>931,441.00</w:t>
            </w:r>
          </w:p>
        </w:tc>
        <w:tc>
          <w:tcPr>
            <w:tcW w:w="2125" w:type="dxa"/>
            <w:tcBorders>
              <w:top w:val="single" w:sz="12" w:space="0" w:color="auto"/>
              <w:bottom w:val="double" w:sz="4" w:space="0" w:color="auto"/>
            </w:tcBorders>
          </w:tcPr>
          <w:p w14:paraId="30855AA6" w14:textId="5901E48C" w:rsidR="0029073D" w:rsidRPr="00C80F8E" w:rsidRDefault="00B2411B" w:rsidP="0029073D">
            <w:pPr>
              <w:jc w:val="right"/>
              <w:rPr>
                <w:rFonts w:ascii="Abadi" w:hAnsi="Abadi" w:cstheme="minorHAnsi"/>
                <w:b/>
                <w:bCs/>
                <w:sz w:val="20"/>
                <w:szCs w:val="20"/>
                <w:lang w:val="es-ES_tradnl"/>
              </w:rPr>
            </w:pPr>
            <w:r w:rsidRPr="00C80F8E">
              <w:rPr>
                <w:rFonts w:ascii="Abadi" w:hAnsi="Abadi" w:cstheme="minorHAnsi"/>
                <w:b/>
                <w:bCs/>
                <w:sz w:val="20"/>
                <w:szCs w:val="20"/>
                <w:lang w:val="es-ES_tradnl"/>
              </w:rPr>
              <w:t>2,770,958.11</w:t>
            </w:r>
          </w:p>
        </w:tc>
      </w:tr>
    </w:tbl>
    <w:p w14:paraId="28D2D8F9" w14:textId="77777777" w:rsidR="001E1D7A" w:rsidRPr="00C80F8E" w:rsidRDefault="001E1D7A" w:rsidP="000B3363">
      <w:pPr>
        <w:jc w:val="both"/>
        <w:rPr>
          <w:rFonts w:ascii="Abadi" w:hAnsi="Abadi" w:cstheme="minorHAnsi"/>
          <w:sz w:val="20"/>
          <w:szCs w:val="20"/>
          <w:lang w:val="es-ES_tradnl"/>
        </w:rPr>
      </w:pPr>
    </w:p>
    <w:p w14:paraId="19151CA8" w14:textId="77777777" w:rsidR="00267F39" w:rsidRPr="00C80F8E" w:rsidRDefault="00267F39" w:rsidP="007078C2">
      <w:pPr>
        <w:spacing w:line="240" w:lineRule="auto"/>
        <w:contextualSpacing/>
        <w:jc w:val="both"/>
        <w:rPr>
          <w:rFonts w:ascii="Abadi" w:hAnsi="Abadi" w:cstheme="minorHAnsi"/>
          <w:b/>
          <w:bCs/>
          <w:iCs/>
          <w:sz w:val="20"/>
          <w:szCs w:val="20"/>
          <w:lang w:val="es-ES_tradnl"/>
        </w:rPr>
      </w:pPr>
      <w:r w:rsidRPr="00C80F8E">
        <w:rPr>
          <w:rFonts w:ascii="Abadi" w:hAnsi="Abadi" w:cstheme="minorHAnsi"/>
          <w:b/>
          <w:bCs/>
          <w:iCs/>
          <w:sz w:val="20"/>
          <w:szCs w:val="20"/>
          <w:lang w:val="es-ES_tradnl"/>
        </w:rPr>
        <w:t>Monto pendiente de Dispersar TSS/INABIMA:</w:t>
      </w:r>
    </w:p>
    <w:p w14:paraId="31B94924" w14:textId="77777777" w:rsidR="00526E68" w:rsidRPr="00C80F8E" w:rsidRDefault="00526E68" w:rsidP="007078C2">
      <w:pPr>
        <w:spacing w:line="240" w:lineRule="auto"/>
        <w:contextualSpacing/>
        <w:jc w:val="both"/>
        <w:rPr>
          <w:rFonts w:ascii="Abadi" w:hAnsi="Abadi" w:cstheme="minorHAnsi"/>
          <w:b/>
          <w:bCs/>
          <w:iCs/>
          <w:sz w:val="20"/>
          <w:szCs w:val="20"/>
          <w:lang w:val="es-ES_tradnl"/>
        </w:rPr>
      </w:pPr>
    </w:p>
    <w:p w14:paraId="13DEA6EE" w14:textId="555F6BBF" w:rsidR="006745CF" w:rsidRPr="00C80F8E" w:rsidRDefault="00286A84" w:rsidP="00203AF2">
      <w:pPr>
        <w:spacing w:line="240" w:lineRule="auto"/>
        <w:contextualSpacing/>
        <w:jc w:val="both"/>
        <w:rPr>
          <w:rFonts w:ascii="Abadi" w:hAnsi="Abadi" w:cstheme="minorHAnsi"/>
          <w:b/>
          <w:iCs/>
          <w:sz w:val="20"/>
          <w:szCs w:val="20"/>
          <w:lang w:val="es-ES_tradnl"/>
        </w:rPr>
      </w:pPr>
      <w:r w:rsidRPr="00C80F8E">
        <w:rPr>
          <w:rFonts w:ascii="Abadi" w:hAnsi="Abadi" w:cstheme="minorHAnsi"/>
          <w:bCs/>
          <w:sz w:val="20"/>
          <w:szCs w:val="20"/>
          <w:lang w:val="es-ES_tradnl"/>
        </w:rPr>
        <w:t>Al 30 de junio de 2025</w:t>
      </w:r>
      <w:r w:rsidR="00267F39" w:rsidRPr="00C80F8E">
        <w:rPr>
          <w:rFonts w:ascii="Abadi" w:hAnsi="Abadi" w:cstheme="minorHAnsi"/>
          <w:iCs/>
          <w:sz w:val="20"/>
          <w:szCs w:val="20"/>
          <w:lang w:val="es-ES_tradnl"/>
        </w:rPr>
        <w:t xml:space="preserve">, el monto pendiente por dispersar TSS/INABIMA asciende a la suma de RD$6,383,013.16 (Seis Millones Trescientos Ochenta y Tres Mil Trece pesos con 16/100), confirmado por la Tesorería de la Seguridad Social mediante comunicación DF-TSS-2023-1203 de fecha 15 de febrero 2023, dicho monto será actualizado al final de cada periodo fiscal hasta tanto sea dispersado. Por recomendación de las auditorías realizadas por la Cámara de Cuentas de la Republica Dominicana, fue excluido de las cuentas por cobrar, dado que el método de registro de los ingresos de la Superintendencia de Pensiones es por el </w:t>
      </w:r>
      <w:r w:rsidR="00267F39" w:rsidRPr="00C80F8E">
        <w:rPr>
          <w:rFonts w:ascii="Abadi" w:hAnsi="Abadi" w:cstheme="minorHAnsi"/>
          <w:b/>
          <w:iCs/>
          <w:sz w:val="20"/>
          <w:szCs w:val="20"/>
          <w:lang w:val="es-ES_tradnl"/>
        </w:rPr>
        <w:t>Método de lo Percibido.</w:t>
      </w:r>
    </w:p>
    <w:p w14:paraId="266D37D0" w14:textId="77777777" w:rsidR="0016157F" w:rsidRPr="00C80F8E" w:rsidRDefault="0016157F" w:rsidP="00A7606E">
      <w:pPr>
        <w:pStyle w:val="Prrafodelista"/>
        <w:numPr>
          <w:ilvl w:val="0"/>
          <w:numId w:val="1"/>
        </w:numPr>
        <w:spacing w:line="240" w:lineRule="auto"/>
        <w:ind w:left="283" w:hanging="357"/>
        <w:rPr>
          <w:rFonts w:ascii="Abadi" w:hAnsi="Abadi" w:cstheme="minorHAnsi"/>
          <w:b/>
          <w:sz w:val="20"/>
          <w:szCs w:val="20"/>
          <w:lang w:val="es-ES_tradnl"/>
        </w:rPr>
      </w:pPr>
      <w:r w:rsidRPr="00C80F8E">
        <w:rPr>
          <w:rFonts w:ascii="Abadi" w:hAnsi="Abadi" w:cstheme="minorHAnsi"/>
          <w:b/>
          <w:sz w:val="20"/>
          <w:szCs w:val="20"/>
          <w:lang w:val="es-ES_tradnl"/>
        </w:rPr>
        <w:t>Sueldos, salarios y beneficios a empleados</w:t>
      </w:r>
    </w:p>
    <w:p w14:paraId="4702F709" w14:textId="1A017DF9" w:rsidR="0016157F" w:rsidRPr="00C80F8E" w:rsidRDefault="00066229" w:rsidP="00066229">
      <w:pPr>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los gastos totales de personal ascendieron a RD$271,237,426.15, frente a RD$209,931,537.05 registrados al 30 de junio de 2024. Esta diferencia representa un incremento absoluto de RD$61,305,889.10 y una variación relativa positiva de 29.22%.</w:t>
      </w:r>
      <w:r w:rsidR="00096DF8" w:rsidRPr="00C80F8E">
        <w:rPr>
          <w:rStyle w:val="CarCar"/>
          <w:rFonts w:ascii="Abadi" w:hAnsi="Abadi" w:cstheme="minorHAnsi"/>
          <w:bCs w:val="0"/>
          <w:iCs/>
          <w:sz w:val="20"/>
          <w:szCs w:val="20"/>
          <w:lang w:val="es-ES_tradnl"/>
        </w:rPr>
        <w:t xml:space="preserve">, </w:t>
      </w:r>
      <w:r w:rsidR="0016157F" w:rsidRPr="00C80F8E">
        <w:rPr>
          <w:rFonts w:ascii="Abadi" w:hAnsi="Abadi" w:cstheme="minorHAnsi"/>
          <w:bCs/>
          <w:sz w:val="20"/>
          <w:szCs w:val="20"/>
          <w:lang w:val="es-ES_tradnl"/>
        </w:rPr>
        <w:t>es como sigue:</w:t>
      </w:r>
    </w:p>
    <w:tbl>
      <w:tblPr>
        <w:tblStyle w:val="Tablaconcuadrcula"/>
        <w:tblW w:w="0" w:type="auto"/>
        <w:tblInd w:w="66" w:type="dxa"/>
        <w:tblLook w:val="04A0" w:firstRow="1" w:lastRow="0" w:firstColumn="1" w:lastColumn="0" w:noHBand="0" w:noVBand="1"/>
      </w:tblPr>
      <w:tblGrid>
        <w:gridCol w:w="4891"/>
        <w:gridCol w:w="2268"/>
        <w:gridCol w:w="2125"/>
      </w:tblGrid>
      <w:tr w:rsidR="0016157F" w:rsidRPr="00C80F8E" w14:paraId="7AC7EAA9" w14:textId="77777777" w:rsidTr="006C2D82">
        <w:tc>
          <w:tcPr>
            <w:tcW w:w="4891" w:type="dxa"/>
            <w:shd w:val="clear" w:color="auto" w:fill="0070C0"/>
          </w:tcPr>
          <w:p w14:paraId="57CBF141" w14:textId="77777777" w:rsidR="0016157F" w:rsidRPr="00C80F8E" w:rsidRDefault="0016157F"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45F33469" w14:textId="1610D391" w:rsidR="0016157F"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7B3498" w:rsidRPr="00C80F8E">
              <w:rPr>
                <w:rFonts w:ascii="Abadi" w:hAnsi="Abadi" w:cstheme="minorHAnsi"/>
                <w:b/>
                <w:bCs/>
                <w:color w:val="FFFFFF" w:themeColor="background1"/>
                <w:sz w:val="20"/>
                <w:szCs w:val="20"/>
                <w:lang w:val="es-ES_tradnl"/>
              </w:rPr>
              <w:t>5</w:t>
            </w:r>
          </w:p>
        </w:tc>
        <w:tc>
          <w:tcPr>
            <w:tcW w:w="2125" w:type="dxa"/>
            <w:shd w:val="clear" w:color="auto" w:fill="0070C0"/>
          </w:tcPr>
          <w:p w14:paraId="1E2E8C45" w14:textId="3E94CE76" w:rsidR="0016157F"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7B3498" w:rsidRPr="00C80F8E">
              <w:rPr>
                <w:rFonts w:ascii="Abadi" w:hAnsi="Abadi" w:cstheme="minorHAnsi"/>
                <w:b/>
                <w:bCs/>
                <w:color w:val="FFFFFF" w:themeColor="background1"/>
                <w:sz w:val="20"/>
                <w:szCs w:val="20"/>
                <w:lang w:val="es-ES_tradnl"/>
              </w:rPr>
              <w:t>4</w:t>
            </w:r>
          </w:p>
        </w:tc>
      </w:tr>
      <w:tr w:rsidR="0015364B" w:rsidRPr="00C80F8E" w14:paraId="49DE5DE2" w14:textId="77777777" w:rsidTr="00695C8D">
        <w:tc>
          <w:tcPr>
            <w:tcW w:w="4891" w:type="dxa"/>
            <w:tcBorders>
              <w:top w:val="single" w:sz="4" w:space="0" w:color="auto"/>
              <w:left w:val="single" w:sz="4" w:space="0" w:color="auto"/>
              <w:bottom w:val="single" w:sz="4" w:space="0" w:color="auto"/>
              <w:right w:val="nil"/>
            </w:tcBorders>
          </w:tcPr>
          <w:p w14:paraId="1D84D486" w14:textId="4FA457B2" w:rsidR="0015364B" w:rsidRPr="00C80F8E" w:rsidRDefault="0015364B" w:rsidP="0015364B">
            <w:pPr>
              <w:rPr>
                <w:rFonts w:ascii="Abadi" w:hAnsi="Abadi" w:cstheme="minorHAnsi"/>
                <w:b/>
                <w:bCs/>
                <w:sz w:val="20"/>
                <w:szCs w:val="20"/>
                <w:lang w:val="es-ES_tradnl"/>
              </w:rPr>
            </w:pPr>
            <w:r w:rsidRPr="00C80F8E">
              <w:rPr>
                <w:rFonts w:ascii="Abadi" w:hAnsi="Abadi" w:cstheme="minorHAnsi"/>
                <w:color w:val="000000"/>
                <w:sz w:val="20"/>
                <w:szCs w:val="20"/>
                <w:lang w:val="es-ES_tradnl"/>
              </w:rPr>
              <w:t>Sueldos Fijos</w:t>
            </w:r>
          </w:p>
        </w:tc>
        <w:tc>
          <w:tcPr>
            <w:tcW w:w="2268" w:type="dxa"/>
          </w:tcPr>
          <w:p w14:paraId="0BD9E0FD" w14:textId="14BDCBAD" w:rsidR="0015364B" w:rsidRPr="00C80F8E" w:rsidRDefault="00515FD7" w:rsidP="0015364B">
            <w:pPr>
              <w:jc w:val="right"/>
              <w:rPr>
                <w:rFonts w:ascii="Abadi" w:hAnsi="Abadi" w:cstheme="minorHAnsi"/>
                <w:sz w:val="20"/>
                <w:szCs w:val="20"/>
                <w:lang w:val="es-ES_tradnl"/>
              </w:rPr>
            </w:pPr>
            <w:r w:rsidRPr="00C80F8E">
              <w:rPr>
                <w:rFonts w:ascii="Abadi" w:hAnsi="Abadi" w:cstheme="minorHAnsi"/>
                <w:sz w:val="20"/>
                <w:szCs w:val="20"/>
                <w:lang w:val="es-ES_tradnl"/>
              </w:rPr>
              <w:t>117,711,957.73</w:t>
            </w:r>
          </w:p>
        </w:tc>
        <w:tc>
          <w:tcPr>
            <w:tcW w:w="2125" w:type="dxa"/>
          </w:tcPr>
          <w:p w14:paraId="40990840" w14:textId="1C1A162A" w:rsidR="0015364B" w:rsidRPr="00C80F8E" w:rsidRDefault="00D346B9" w:rsidP="0015364B">
            <w:pPr>
              <w:jc w:val="right"/>
              <w:rPr>
                <w:rFonts w:ascii="Abadi" w:hAnsi="Abadi" w:cstheme="minorHAnsi"/>
                <w:sz w:val="20"/>
                <w:szCs w:val="20"/>
                <w:lang w:val="es-ES_tradnl"/>
              </w:rPr>
            </w:pPr>
            <w:r w:rsidRPr="00C80F8E">
              <w:rPr>
                <w:rFonts w:ascii="Abadi" w:hAnsi="Abadi" w:cstheme="minorHAnsi"/>
                <w:sz w:val="20"/>
                <w:szCs w:val="20"/>
                <w:lang w:val="es-ES_tradnl"/>
              </w:rPr>
              <w:t>109,340,196.17</w:t>
            </w:r>
          </w:p>
        </w:tc>
      </w:tr>
      <w:tr w:rsidR="0015364B" w:rsidRPr="00C80F8E" w14:paraId="3FBA7431" w14:textId="77777777" w:rsidTr="00695C8D">
        <w:tc>
          <w:tcPr>
            <w:tcW w:w="4891" w:type="dxa"/>
            <w:tcBorders>
              <w:top w:val="single" w:sz="4" w:space="0" w:color="auto"/>
              <w:left w:val="single" w:sz="4" w:space="0" w:color="auto"/>
              <w:bottom w:val="single" w:sz="4" w:space="0" w:color="auto"/>
              <w:right w:val="nil"/>
            </w:tcBorders>
          </w:tcPr>
          <w:p w14:paraId="3E294BC8" w14:textId="1F51F91E" w:rsidR="0015364B" w:rsidRPr="00C80F8E" w:rsidRDefault="0015364B" w:rsidP="0015364B">
            <w:pPr>
              <w:rPr>
                <w:rFonts w:ascii="Abadi" w:hAnsi="Abadi" w:cstheme="minorHAnsi"/>
                <w:b/>
                <w:bCs/>
                <w:sz w:val="20"/>
                <w:szCs w:val="20"/>
                <w:lang w:val="es-ES_tradnl"/>
              </w:rPr>
            </w:pPr>
            <w:r w:rsidRPr="00C80F8E">
              <w:rPr>
                <w:rFonts w:ascii="Abadi" w:hAnsi="Abadi" w:cstheme="minorHAnsi"/>
                <w:color w:val="000000"/>
                <w:sz w:val="20"/>
                <w:szCs w:val="20"/>
                <w:lang w:val="es-ES_tradnl"/>
              </w:rPr>
              <w:t>Sueldos Personal Contratado e Igualado</w:t>
            </w:r>
          </w:p>
        </w:tc>
        <w:tc>
          <w:tcPr>
            <w:tcW w:w="2268" w:type="dxa"/>
          </w:tcPr>
          <w:p w14:paraId="514D056E" w14:textId="67BE49DC" w:rsidR="0015364B" w:rsidRPr="00C80F8E" w:rsidRDefault="0096288E" w:rsidP="0015364B">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Pr>
          <w:p w14:paraId="12D63BA2" w14:textId="2FD0FEFC" w:rsidR="0015364B" w:rsidRPr="00C80F8E" w:rsidRDefault="00D346B9" w:rsidP="0015364B">
            <w:pPr>
              <w:jc w:val="right"/>
              <w:rPr>
                <w:rFonts w:ascii="Abadi" w:hAnsi="Abadi" w:cstheme="minorHAnsi"/>
                <w:sz w:val="20"/>
                <w:szCs w:val="20"/>
                <w:lang w:val="es-ES_tradnl"/>
              </w:rPr>
            </w:pPr>
            <w:r w:rsidRPr="00C80F8E">
              <w:rPr>
                <w:rFonts w:ascii="Abadi" w:hAnsi="Abadi" w:cstheme="minorHAnsi"/>
                <w:sz w:val="20"/>
                <w:szCs w:val="20"/>
                <w:lang w:val="es-ES_tradnl"/>
              </w:rPr>
              <w:t>300,000.00</w:t>
            </w:r>
          </w:p>
        </w:tc>
      </w:tr>
      <w:tr w:rsidR="0015364B" w:rsidRPr="00C80F8E" w14:paraId="6DB984B2" w14:textId="77777777" w:rsidTr="00695C8D">
        <w:tc>
          <w:tcPr>
            <w:tcW w:w="4891" w:type="dxa"/>
            <w:tcBorders>
              <w:top w:val="single" w:sz="4" w:space="0" w:color="auto"/>
              <w:left w:val="single" w:sz="4" w:space="0" w:color="auto"/>
              <w:bottom w:val="single" w:sz="4" w:space="0" w:color="auto"/>
              <w:right w:val="nil"/>
            </w:tcBorders>
          </w:tcPr>
          <w:p w14:paraId="7230672F" w14:textId="65532D5E" w:rsidR="0015364B" w:rsidRPr="00C80F8E" w:rsidRDefault="0015364B" w:rsidP="0015364B">
            <w:pPr>
              <w:rPr>
                <w:rFonts w:ascii="Abadi" w:hAnsi="Abadi" w:cstheme="minorHAnsi"/>
                <w:b/>
                <w:bCs/>
                <w:sz w:val="20"/>
                <w:szCs w:val="20"/>
                <w:lang w:val="es-ES_tradnl"/>
              </w:rPr>
            </w:pPr>
            <w:r w:rsidRPr="00C80F8E">
              <w:rPr>
                <w:rFonts w:ascii="Abadi" w:hAnsi="Abadi" w:cstheme="minorHAnsi"/>
                <w:color w:val="000000"/>
                <w:sz w:val="20"/>
                <w:szCs w:val="20"/>
                <w:lang w:val="es-ES_tradnl"/>
              </w:rPr>
              <w:t>Personal de Carácter Eventual</w:t>
            </w:r>
          </w:p>
        </w:tc>
        <w:tc>
          <w:tcPr>
            <w:tcW w:w="2268" w:type="dxa"/>
          </w:tcPr>
          <w:p w14:paraId="45F35E26" w14:textId="05D9DA09" w:rsidR="0015364B" w:rsidRPr="00C80F8E" w:rsidRDefault="00812573" w:rsidP="0015364B">
            <w:pPr>
              <w:jc w:val="right"/>
              <w:rPr>
                <w:rFonts w:ascii="Abadi" w:hAnsi="Abadi" w:cstheme="minorHAnsi"/>
                <w:sz w:val="20"/>
                <w:szCs w:val="20"/>
                <w:lang w:val="es-ES_tradnl"/>
              </w:rPr>
            </w:pPr>
            <w:r w:rsidRPr="00C80F8E">
              <w:rPr>
                <w:rFonts w:ascii="Abadi" w:hAnsi="Abadi" w:cstheme="minorHAnsi"/>
                <w:sz w:val="20"/>
                <w:szCs w:val="20"/>
                <w:lang w:val="es-ES_tradnl"/>
              </w:rPr>
              <w:t>75,089.20</w:t>
            </w:r>
          </w:p>
        </w:tc>
        <w:tc>
          <w:tcPr>
            <w:tcW w:w="2125" w:type="dxa"/>
          </w:tcPr>
          <w:p w14:paraId="246FBD2F" w14:textId="2BB58EFE" w:rsidR="0015364B" w:rsidRPr="00C80F8E" w:rsidRDefault="004B74D0" w:rsidP="0015364B">
            <w:pPr>
              <w:jc w:val="right"/>
              <w:rPr>
                <w:rFonts w:ascii="Abadi" w:hAnsi="Abadi" w:cstheme="minorHAnsi"/>
                <w:sz w:val="20"/>
                <w:szCs w:val="20"/>
                <w:lang w:val="es-ES_tradnl"/>
              </w:rPr>
            </w:pPr>
            <w:r w:rsidRPr="00C80F8E">
              <w:rPr>
                <w:rFonts w:ascii="Abadi" w:hAnsi="Abadi" w:cstheme="minorHAnsi"/>
                <w:sz w:val="20"/>
                <w:szCs w:val="20"/>
                <w:lang w:val="es-ES_tradnl"/>
              </w:rPr>
              <w:t>45,833.33</w:t>
            </w:r>
          </w:p>
        </w:tc>
      </w:tr>
      <w:tr w:rsidR="0015364B" w:rsidRPr="00C80F8E" w14:paraId="0491D9B4" w14:textId="77777777" w:rsidTr="00695C8D">
        <w:tc>
          <w:tcPr>
            <w:tcW w:w="4891" w:type="dxa"/>
            <w:tcBorders>
              <w:top w:val="single" w:sz="4" w:space="0" w:color="auto"/>
              <w:left w:val="single" w:sz="4" w:space="0" w:color="auto"/>
              <w:bottom w:val="single" w:sz="4" w:space="0" w:color="auto"/>
              <w:right w:val="nil"/>
            </w:tcBorders>
          </w:tcPr>
          <w:p w14:paraId="6D6482F0" w14:textId="7EC30F25" w:rsidR="0015364B" w:rsidRPr="00C80F8E" w:rsidRDefault="0015364B" w:rsidP="0015364B">
            <w:pPr>
              <w:rPr>
                <w:rFonts w:ascii="Abadi" w:hAnsi="Abadi" w:cstheme="minorHAnsi"/>
                <w:b/>
                <w:bCs/>
                <w:sz w:val="20"/>
                <w:szCs w:val="20"/>
                <w:lang w:val="es-ES_tradnl"/>
              </w:rPr>
            </w:pPr>
            <w:r w:rsidRPr="00C80F8E">
              <w:rPr>
                <w:rFonts w:ascii="Abadi" w:hAnsi="Abadi" w:cstheme="minorHAnsi"/>
                <w:color w:val="000000"/>
                <w:sz w:val="20"/>
                <w:szCs w:val="20"/>
                <w:lang w:val="es-ES_tradnl"/>
              </w:rPr>
              <w:t>Prima de Transporte</w:t>
            </w:r>
          </w:p>
        </w:tc>
        <w:tc>
          <w:tcPr>
            <w:tcW w:w="2268" w:type="dxa"/>
          </w:tcPr>
          <w:p w14:paraId="440035E3" w14:textId="5F6BC989" w:rsidR="0015364B" w:rsidRPr="00C80F8E" w:rsidRDefault="00812573" w:rsidP="0015364B">
            <w:pPr>
              <w:jc w:val="right"/>
              <w:rPr>
                <w:rFonts w:ascii="Abadi" w:hAnsi="Abadi" w:cstheme="minorHAnsi"/>
                <w:sz w:val="20"/>
                <w:szCs w:val="20"/>
                <w:lang w:val="es-ES_tradnl"/>
              </w:rPr>
            </w:pPr>
            <w:r w:rsidRPr="00C80F8E">
              <w:rPr>
                <w:rFonts w:ascii="Abadi" w:hAnsi="Abadi" w:cstheme="minorHAnsi"/>
                <w:sz w:val="20"/>
                <w:szCs w:val="20"/>
                <w:lang w:val="es-ES_tradnl"/>
              </w:rPr>
              <w:t>5,692,294.25</w:t>
            </w:r>
          </w:p>
        </w:tc>
        <w:tc>
          <w:tcPr>
            <w:tcW w:w="2125" w:type="dxa"/>
          </w:tcPr>
          <w:p w14:paraId="57201350" w14:textId="0A56EE65" w:rsidR="0015364B" w:rsidRPr="00C80F8E" w:rsidRDefault="004B74D0" w:rsidP="0015364B">
            <w:pPr>
              <w:jc w:val="right"/>
              <w:rPr>
                <w:rFonts w:ascii="Abadi" w:hAnsi="Abadi" w:cstheme="minorHAnsi"/>
                <w:sz w:val="20"/>
                <w:szCs w:val="20"/>
                <w:lang w:val="es-ES_tradnl"/>
              </w:rPr>
            </w:pPr>
            <w:r w:rsidRPr="00C80F8E">
              <w:rPr>
                <w:rFonts w:ascii="Abadi" w:hAnsi="Abadi" w:cstheme="minorHAnsi"/>
                <w:sz w:val="20"/>
                <w:szCs w:val="20"/>
                <w:lang w:val="es-ES_tradnl"/>
              </w:rPr>
              <w:t>5,619,367.36</w:t>
            </w:r>
          </w:p>
        </w:tc>
      </w:tr>
      <w:tr w:rsidR="0015364B" w:rsidRPr="00C80F8E" w14:paraId="3956B0E7" w14:textId="77777777" w:rsidTr="00695C8D">
        <w:tc>
          <w:tcPr>
            <w:tcW w:w="4891" w:type="dxa"/>
            <w:tcBorders>
              <w:top w:val="single" w:sz="4" w:space="0" w:color="auto"/>
              <w:left w:val="single" w:sz="4" w:space="0" w:color="auto"/>
              <w:bottom w:val="single" w:sz="4" w:space="0" w:color="auto"/>
              <w:right w:val="nil"/>
            </w:tcBorders>
          </w:tcPr>
          <w:p w14:paraId="367352AB" w14:textId="08E14FFA" w:rsidR="0015364B" w:rsidRPr="00C80F8E" w:rsidRDefault="0015364B" w:rsidP="0015364B">
            <w:pPr>
              <w:rPr>
                <w:rFonts w:ascii="Abadi" w:hAnsi="Abadi" w:cstheme="minorHAnsi"/>
                <w:b/>
                <w:bCs/>
                <w:sz w:val="20"/>
                <w:szCs w:val="20"/>
                <w:lang w:val="es-ES_tradnl"/>
              </w:rPr>
            </w:pPr>
            <w:r w:rsidRPr="00C80F8E">
              <w:rPr>
                <w:rFonts w:ascii="Abadi" w:hAnsi="Abadi" w:cstheme="minorHAnsi"/>
                <w:color w:val="000000"/>
                <w:sz w:val="20"/>
                <w:szCs w:val="20"/>
                <w:lang w:val="es-ES_tradnl"/>
              </w:rPr>
              <w:t>Compensación Servicios de Seguridad</w:t>
            </w:r>
          </w:p>
        </w:tc>
        <w:tc>
          <w:tcPr>
            <w:tcW w:w="2268" w:type="dxa"/>
          </w:tcPr>
          <w:p w14:paraId="01374829" w14:textId="1715FDCB" w:rsidR="0015364B" w:rsidRPr="00C80F8E" w:rsidRDefault="00D25973" w:rsidP="0015364B">
            <w:pPr>
              <w:jc w:val="right"/>
              <w:rPr>
                <w:rFonts w:ascii="Abadi" w:hAnsi="Abadi" w:cstheme="minorHAnsi"/>
                <w:sz w:val="20"/>
                <w:szCs w:val="20"/>
                <w:lang w:val="es-ES_tradnl"/>
              </w:rPr>
            </w:pPr>
            <w:r w:rsidRPr="00C80F8E">
              <w:rPr>
                <w:rFonts w:ascii="Abadi" w:hAnsi="Abadi" w:cstheme="minorHAnsi"/>
                <w:sz w:val="20"/>
                <w:szCs w:val="20"/>
                <w:lang w:val="es-ES_tradnl"/>
              </w:rPr>
              <w:t>6,071,900.00</w:t>
            </w:r>
          </w:p>
        </w:tc>
        <w:tc>
          <w:tcPr>
            <w:tcW w:w="2125" w:type="dxa"/>
          </w:tcPr>
          <w:p w14:paraId="40D7FECC" w14:textId="49C818B4" w:rsidR="0015364B" w:rsidRPr="00C80F8E" w:rsidRDefault="003423EA" w:rsidP="0015364B">
            <w:pPr>
              <w:jc w:val="right"/>
              <w:rPr>
                <w:rFonts w:ascii="Abadi" w:hAnsi="Abadi" w:cstheme="minorHAnsi"/>
                <w:sz w:val="20"/>
                <w:szCs w:val="20"/>
                <w:lang w:val="es-ES_tradnl"/>
              </w:rPr>
            </w:pPr>
            <w:r w:rsidRPr="00C80F8E">
              <w:rPr>
                <w:rFonts w:ascii="Abadi" w:hAnsi="Abadi" w:cstheme="minorHAnsi"/>
                <w:sz w:val="20"/>
                <w:szCs w:val="20"/>
                <w:lang w:val="es-ES_tradnl"/>
              </w:rPr>
              <w:t>4,924,944.00</w:t>
            </w:r>
          </w:p>
        </w:tc>
      </w:tr>
      <w:tr w:rsidR="0015364B" w:rsidRPr="00C80F8E" w14:paraId="35134A30" w14:textId="77777777" w:rsidTr="00695C8D">
        <w:tc>
          <w:tcPr>
            <w:tcW w:w="4891" w:type="dxa"/>
            <w:tcBorders>
              <w:top w:val="single" w:sz="4" w:space="0" w:color="auto"/>
              <w:left w:val="single" w:sz="4" w:space="0" w:color="auto"/>
              <w:bottom w:val="single" w:sz="4" w:space="0" w:color="auto"/>
              <w:right w:val="nil"/>
            </w:tcBorders>
          </w:tcPr>
          <w:p w14:paraId="678806C4" w14:textId="7042D6B3" w:rsidR="0015364B" w:rsidRPr="00C80F8E" w:rsidRDefault="0015364B" w:rsidP="0015364B">
            <w:pPr>
              <w:rPr>
                <w:rFonts w:ascii="Abadi" w:hAnsi="Abadi" w:cstheme="minorHAnsi"/>
                <w:b/>
                <w:bCs/>
                <w:sz w:val="20"/>
                <w:szCs w:val="20"/>
                <w:lang w:val="es-ES_tradnl"/>
              </w:rPr>
            </w:pPr>
            <w:r w:rsidRPr="00C80F8E">
              <w:rPr>
                <w:rFonts w:ascii="Abadi" w:hAnsi="Abadi" w:cstheme="minorHAnsi"/>
                <w:color w:val="000000"/>
                <w:sz w:val="20"/>
                <w:szCs w:val="20"/>
                <w:lang w:val="es-ES_tradnl"/>
              </w:rPr>
              <w:t>Compensación por Resultados</w:t>
            </w:r>
          </w:p>
        </w:tc>
        <w:tc>
          <w:tcPr>
            <w:tcW w:w="2268" w:type="dxa"/>
          </w:tcPr>
          <w:p w14:paraId="68786C0F" w14:textId="77CBBE6A" w:rsidR="0015364B" w:rsidRPr="00C80F8E" w:rsidRDefault="008E3C3C" w:rsidP="0015364B">
            <w:pPr>
              <w:jc w:val="right"/>
              <w:rPr>
                <w:rFonts w:ascii="Abadi" w:hAnsi="Abadi" w:cstheme="minorHAnsi"/>
                <w:sz w:val="20"/>
                <w:szCs w:val="20"/>
                <w:lang w:val="es-ES_tradnl"/>
              </w:rPr>
            </w:pPr>
            <w:r w:rsidRPr="00C80F8E">
              <w:rPr>
                <w:rFonts w:ascii="Abadi" w:hAnsi="Abadi" w:cstheme="minorHAnsi"/>
                <w:sz w:val="20"/>
                <w:szCs w:val="20"/>
                <w:lang w:val="es-ES_tradnl"/>
              </w:rPr>
              <w:t>5,370,000.00</w:t>
            </w:r>
          </w:p>
        </w:tc>
        <w:tc>
          <w:tcPr>
            <w:tcW w:w="2125" w:type="dxa"/>
          </w:tcPr>
          <w:p w14:paraId="6ED67A00" w14:textId="77AA151A" w:rsidR="0015364B" w:rsidRPr="00C80F8E" w:rsidRDefault="003423EA" w:rsidP="0015364B">
            <w:pPr>
              <w:jc w:val="right"/>
              <w:rPr>
                <w:rFonts w:ascii="Abadi" w:hAnsi="Abadi" w:cstheme="minorHAnsi"/>
                <w:sz w:val="20"/>
                <w:szCs w:val="20"/>
                <w:lang w:val="es-ES_tradnl"/>
              </w:rPr>
            </w:pPr>
            <w:r w:rsidRPr="00C80F8E">
              <w:rPr>
                <w:rFonts w:ascii="Abadi" w:hAnsi="Abadi" w:cstheme="minorHAnsi"/>
                <w:sz w:val="20"/>
                <w:szCs w:val="20"/>
                <w:lang w:val="es-ES_tradnl"/>
              </w:rPr>
              <w:t>2,386,833.35</w:t>
            </w:r>
          </w:p>
        </w:tc>
      </w:tr>
      <w:tr w:rsidR="0015364B" w:rsidRPr="00C80F8E" w14:paraId="07E81D55" w14:textId="77777777" w:rsidTr="00695C8D">
        <w:tc>
          <w:tcPr>
            <w:tcW w:w="4891" w:type="dxa"/>
            <w:tcBorders>
              <w:top w:val="single" w:sz="4" w:space="0" w:color="auto"/>
              <w:left w:val="single" w:sz="4" w:space="0" w:color="auto"/>
              <w:bottom w:val="single" w:sz="4" w:space="0" w:color="auto"/>
              <w:right w:val="nil"/>
            </w:tcBorders>
          </w:tcPr>
          <w:p w14:paraId="74907460" w14:textId="6DF212A1" w:rsidR="0015364B" w:rsidRPr="00C80F8E" w:rsidRDefault="0015364B" w:rsidP="0015364B">
            <w:pPr>
              <w:rPr>
                <w:rFonts w:ascii="Abadi" w:hAnsi="Abadi" w:cstheme="minorHAnsi"/>
                <w:b/>
                <w:bCs/>
                <w:sz w:val="20"/>
                <w:szCs w:val="20"/>
                <w:lang w:val="es-ES_tradnl"/>
              </w:rPr>
            </w:pPr>
            <w:r w:rsidRPr="00C80F8E">
              <w:rPr>
                <w:rFonts w:ascii="Abadi" w:hAnsi="Abadi" w:cstheme="minorHAnsi"/>
                <w:color w:val="000000"/>
                <w:sz w:val="20"/>
                <w:szCs w:val="20"/>
                <w:lang w:val="es-ES_tradnl"/>
              </w:rPr>
              <w:t>Compensación Gastos de Alimentación Militares</w:t>
            </w:r>
          </w:p>
        </w:tc>
        <w:tc>
          <w:tcPr>
            <w:tcW w:w="2268" w:type="dxa"/>
          </w:tcPr>
          <w:p w14:paraId="64CD6E93" w14:textId="60A34797" w:rsidR="0015364B" w:rsidRPr="00C80F8E" w:rsidRDefault="008E3C3C" w:rsidP="0015364B">
            <w:pPr>
              <w:jc w:val="right"/>
              <w:rPr>
                <w:rFonts w:ascii="Abadi" w:hAnsi="Abadi" w:cstheme="minorHAnsi"/>
                <w:sz w:val="20"/>
                <w:szCs w:val="20"/>
                <w:lang w:val="es-ES_tradnl"/>
              </w:rPr>
            </w:pPr>
            <w:r w:rsidRPr="00C80F8E">
              <w:rPr>
                <w:rFonts w:ascii="Abadi" w:hAnsi="Abadi" w:cstheme="minorHAnsi"/>
                <w:sz w:val="20"/>
                <w:szCs w:val="20"/>
                <w:lang w:val="es-ES_tradnl"/>
              </w:rPr>
              <w:t>1,017,300.00</w:t>
            </w:r>
          </w:p>
        </w:tc>
        <w:tc>
          <w:tcPr>
            <w:tcW w:w="2125" w:type="dxa"/>
          </w:tcPr>
          <w:p w14:paraId="3817E63A" w14:textId="612EE67C" w:rsidR="0015364B" w:rsidRPr="00C80F8E" w:rsidRDefault="007B2108" w:rsidP="0015364B">
            <w:pPr>
              <w:jc w:val="right"/>
              <w:rPr>
                <w:rFonts w:ascii="Abadi" w:hAnsi="Abadi" w:cstheme="minorHAnsi"/>
                <w:sz w:val="20"/>
                <w:szCs w:val="20"/>
                <w:lang w:val="es-ES_tradnl"/>
              </w:rPr>
            </w:pPr>
            <w:r w:rsidRPr="00C80F8E">
              <w:rPr>
                <w:rFonts w:ascii="Abadi" w:hAnsi="Abadi" w:cstheme="minorHAnsi"/>
                <w:sz w:val="20"/>
                <w:szCs w:val="20"/>
                <w:lang w:val="es-ES_tradnl"/>
              </w:rPr>
              <w:t>940,700.00</w:t>
            </w:r>
          </w:p>
        </w:tc>
      </w:tr>
      <w:tr w:rsidR="00677B02" w:rsidRPr="00C80F8E" w14:paraId="740767D9" w14:textId="77777777" w:rsidTr="00695C8D">
        <w:tc>
          <w:tcPr>
            <w:tcW w:w="4891" w:type="dxa"/>
            <w:tcBorders>
              <w:top w:val="single" w:sz="4" w:space="0" w:color="auto"/>
              <w:left w:val="single" w:sz="4" w:space="0" w:color="auto"/>
              <w:bottom w:val="single" w:sz="4" w:space="0" w:color="auto"/>
              <w:right w:val="nil"/>
            </w:tcBorders>
          </w:tcPr>
          <w:p w14:paraId="2A934A38" w14:textId="70F8B658" w:rsidR="00677B02" w:rsidRPr="00C80F8E" w:rsidRDefault="00677B02" w:rsidP="00677B02">
            <w:pPr>
              <w:rPr>
                <w:rFonts w:ascii="Abadi" w:hAnsi="Abadi" w:cstheme="minorHAnsi"/>
                <w:b/>
                <w:bCs/>
                <w:sz w:val="20"/>
                <w:szCs w:val="20"/>
                <w:lang w:val="es-ES_tradnl"/>
              </w:rPr>
            </w:pPr>
            <w:r w:rsidRPr="00C80F8E">
              <w:rPr>
                <w:rFonts w:ascii="Abadi" w:hAnsi="Abadi" w:cstheme="minorHAnsi"/>
                <w:color w:val="000000"/>
                <w:sz w:val="20"/>
                <w:szCs w:val="20"/>
                <w:lang w:val="es-ES_tradnl"/>
              </w:rPr>
              <w:t>Gastos de Representación en el Exterior</w:t>
            </w:r>
          </w:p>
        </w:tc>
        <w:tc>
          <w:tcPr>
            <w:tcW w:w="2268" w:type="dxa"/>
          </w:tcPr>
          <w:p w14:paraId="6F930415" w14:textId="710F6C3B" w:rsidR="00677B02" w:rsidRPr="00C80F8E" w:rsidRDefault="008E3C3C" w:rsidP="00677B02">
            <w:pPr>
              <w:jc w:val="right"/>
              <w:rPr>
                <w:rFonts w:ascii="Abadi" w:hAnsi="Abadi" w:cstheme="minorHAnsi"/>
                <w:sz w:val="20"/>
                <w:szCs w:val="20"/>
                <w:lang w:val="es-ES_tradnl"/>
              </w:rPr>
            </w:pPr>
            <w:r w:rsidRPr="00C80F8E">
              <w:rPr>
                <w:rFonts w:ascii="Abadi" w:hAnsi="Abadi" w:cstheme="minorHAnsi"/>
                <w:sz w:val="20"/>
                <w:szCs w:val="20"/>
                <w:lang w:val="es-ES_tradnl"/>
              </w:rPr>
              <w:t>49,698.43</w:t>
            </w:r>
          </w:p>
        </w:tc>
        <w:tc>
          <w:tcPr>
            <w:tcW w:w="2125" w:type="dxa"/>
          </w:tcPr>
          <w:p w14:paraId="76108D3E" w14:textId="3B48E9BE" w:rsidR="00677B02" w:rsidRPr="00C80F8E" w:rsidRDefault="007B2108" w:rsidP="00677B02">
            <w:pPr>
              <w:jc w:val="right"/>
              <w:rPr>
                <w:rFonts w:ascii="Abadi" w:hAnsi="Abadi" w:cstheme="minorHAnsi"/>
                <w:sz w:val="20"/>
                <w:szCs w:val="20"/>
                <w:lang w:val="es-ES_tradnl"/>
              </w:rPr>
            </w:pPr>
            <w:r w:rsidRPr="00C80F8E">
              <w:rPr>
                <w:rFonts w:ascii="Abadi" w:hAnsi="Abadi" w:cstheme="minorHAnsi"/>
                <w:sz w:val="20"/>
                <w:szCs w:val="20"/>
                <w:lang w:val="es-ES_tradnl"/>
              </w:rPr>
              <w:t>87520.11</w:t>
            </w:r>
          </w:p>
        </w:tc>
      </w:tr>
      <w:tr w:rsidR="00677B02" w:rsidRPr="00C80F8E" w14:paraId="55E3DD71" w14:textId="77777777" w:rsidTr="00695C8D">
        <w:tc>
          <w:tcPr>
            <w:tcW w:w="4891" w:type="dxa"/>
            <w:tcBorders>
              <w:top w:val="single" w:sz="4" w:space="0" w:color="auto"/>
              <w:left w:val="single" w:sz="4" w:space="0" w:color="auto"/>
              <w:bottom w:val="single" w:sz="4" w:space="0" w:color="auto"/>
              <w:right w:val="nil"/>
            </w:tcBorders>
          </w:tcPr>
          <w:p w14:paraId="185CB768" w14:textId="1FDCBD6F" w:rsidR="00677B02" w:rsidRPr="00C80F8E" w:rsidRDefault="00677B02" w:rsidP="00677B02">
            <w:pPr>
              <w:rPr>
                <w:rFonts w:ascii="Abadi" w:hAnsi="Abadi" w:cstheme="minorHAnsi"/>
                <w:b/>
                <w:bCs/>
                <w:sz w:val="20"/>
                <w:szCs w:val="20"/>
                <w:lang w:val="es-ES_tradnl"/>
              </w:rPr>
            </w:pPr>
            <w:r w:rsidRPr="00C80F8E">
              <w:rPr>
                <w:rFonts w:ascii="Abadi" w:hAnsi="Abadi" w:cstheme="minorHAnsi"/>
                <w:color w:val="000000"/>
                <w:sz w:val="20"/>
                <w:szCs w:val="20"/>
                <w:lang w:val="es-ES_tradnl"/>
              </w:rPr>
              <w:t>Dietas en el País</w:t>
            </w:r>
          </w:p>
        </w:tc>
        <w:tc>
          <w:tcPr>
            <w:tcW w:w="2268" w:type="dxa"/>
          </w:tcPr>
          <w:p w14:paraId="37F4DF28" w14:textId="335F9F84" w:rsidR="00677B02" w:rsidRPr="00C80F8E" w:rsidRDefault="006B1E15" w:rsidP="00677B02">
            <w:pPr>
              <w:jc w:val="right"/>
              <w:rPr>
                <w:rFonts w:ascii="Abadi" w:hAnsi="Abadi" w:cstheme="minorHAnsi"/>
                <w:sz w:val="20"/>
                <w:szCs w:val="20"/>
                <w:lang w:val="es-ES_tradnl"/>
              </w:rPr>
            </w:pPr>
            <w:r w:rsidRPr="00C80F8E">
              <w:rPr>
                <w:rFonts w:ascii="Abadi" w:hAnsi="Abadi" w:cstheme="minorHAnsi"/>
                <w:sz w:val="20"/>
                <w:szCs w:val="20"/>
                <w:lang w:val="es-ES_tradnl"/>
              </w:rPr>
              <w:t>607,000.00</w:t>
            </w:r>
          </w:p>
        </w:tc>
        <w:tc>
          <w:tcPr>
            <w:tcW w:w="2125" w:type="dxa"/>
          </w:tcPr>
          <w:p w14:paraId="4821DB38" w14:textId="74472BB7" w:rsidR="00677B02" w:rsidRPr="00C80F8E" w:rsidRDefault="00C27DDA" w:rsidP="00677B02">
            <w:pPr>
              <w:jc w:val="right"/>
              <w:rPr>
                <w:rFonts w:ascii="Abadi" w:hAnsi="Abadi" w:cstheme="minorHAnsi"/>
                <w:sz w:val="20"/>
                <w:szCs w:val="20"/>
                <w:lang w:val="es-ES_tradnl"/>
              </w:rPr>
            </w:pPr>
            <w:r w:rsidRPr="00C80F8E">
              <w:rPr>
                <w:rFonts w:ascii="Abadi" w:hAnsi="Abadi" w:cstheme="minorHAnsi"/>
                <w:sz w:val="20"/>
                <w:szCs w:val="20"/>
                <w:lang w:val="es-ES_tradnl"/>
              </w:rPr>
              <w:t>520</w:t>
            </w:r>
            <w:r w:rsidR="00FD2B93" w:rsidRPr="00C80F8E">
              <w:rPr>
                <w:rFonts w:ascii="Abadi" w:hAnsi="Abadi" w:cstheme="minorHAnsi"/>
                <w:sz w:val="20"/>
                <w:szCs w:val="20"/>
                <w:lang w:val="es-ES_tradnl"/>
              </w:rPr>
              <w:t>,000.00</w:t>
            </w:r>
          </w:p>
        </w:tc>
      </w:tr>
      <w:tr w:rsidR="00927D98" w:rsidRPr="00C80F8E" w14:paraId="21EC84B8" w14:textId="77777777" w:rsidTr="00695C8D">
        <w:tc>
          <w:tcPr>
            <w:tcW w:w="4891" w:type="dxa"/>
            <w:tcBorders>
              <w:top w:val="single" w:sz="4" w:space="0" w:color="auto"/>
              <w:left w:val="single" w:sz="4" w:space="0" w:color="auto"/>
              <w:bottom w:val="single" w:sz="4" w:space="0" w:color="auto"/>
              <w:right w:val="nil"/>
            </w:tcBorders>
          </w:tcPr>
          <w:p w14:paraId="76A339B9" w14:textId="4EA3EC23" w:rsidR="00927D98" w:rsidRPr="00C80F8E" w:rsidRDefault="00927D98" w:rsidP="00927D98">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Vacaciones </w:t>
            </w:r>
          </w:p>
        </w:tc>
        <w:tc>
          <w:tcPr>
            <w:tcW w:w="2268" w:type="dxa"/>
          </w:tcPr>
          <w:p w14:paraId="6EEA6E2F" w14:textId="69267431" w:rsidR="00927D98" w:rsidRPr="00C80F8E" w:rsidRDefault="008A7AC1" w:rsidP="00927D98">
            <w:pPr>
              <w:jc w:val="right"/>
              <w:rPr>
                <w:rFonts w:ascii="Abadi" w:hAnsi="Abadi" w:cstheme="minorHAnsi"/>
                <w:sz w:val="20"/>
                <w:szCs w:val="20"/>
                <w:lang w:val="es-ES_tradnl"/>
              </w:rPr>
            </w:pPr>
            <w:r w:rsidRPr="00C80F8E">
              <w:rPr>
                <w:rFonts w:ascii="Abadi" w:hAnsi="Abadi" w:cstheme="minorHAnsi"/>
                <w:sz w:val="20"/>
                <w:szCs w:val="20"/>
                <w:lang w:val="es-ES_tradnl"/>
              </w:rPr>
              <w:t>12,116,544.96</w:t>
            </w:r>
          </w:p>
        </w:tc>
        <w:tc>
          <w:tcPr>
            <w:tcW w:w="2125" w:type="dxa"/>
          </w:tcPr>
          <w:p w14:paraId="3291E435" w14:textId="0F6CBB37" w:rsidR="00927D98" w:rsidRPr="00C80F8E" w:rsidRDefault="00FD2B93" w:rsidP="00927D98">
            <w:pPr>
              <w:jc w:val="right"/>
              <w:rPr>
                <w:rFonts w:ascii="Abadi" w:hAnsi="Abadi" w:cstheme="minorHAnsi"/>
                <w:sz w:val="20"/>
                <w:szCs w:val="20"/>
                <w:lang w:val="es-ES_tradnl"/>
              </w:rPr>
            </w:pPr>
            <w:r w:rsidRPr="00C80F8E">
              <w:rPr>
                <w:rFonts w:ascii="Abadi" w:hAnsi="Abadi" w:cstheme="minorHAnsi"/>
                <w:sz w:val="20"/>
                <w:szCs w:val="20"/>
                <w:lang w:val="es-ES_tradnl"/>
              </w:rPr>
              <w:t>9</w:t>
            </w:r>
            <w:r w:rsidR="00CF5810" w:rsidRPr="00C80F8E">
              <w:rPr>
                <w:rFonts w:ascii="Abadi" w:hAnsi="Abadi" w:cstheme="minorHAnsi"/>
                <w:sz w:val="20"/>
                <w:szCs w:val="20"/>
                <w:lang w:val="es-ES_tradnl"/>
              </w:rPr>
              <w:t>,</w:t>
            </w:r>
            <w:r w:rsidRPr="00C80F8E">
              <w:rPr>
                <w:rFonts w:ascii="Abadi" w:hAnsi="Abadi" w:cstheme="minorHAnsi"/>
                <w:sz w:val="20"/>
                <w:szCs w:val="20"/>
                <w:lang w:val="es-ES_tradnl"/>
              </w:rPr>
              <w:t>466</w:t>
            </w:r>
            <w:r w:rsidR="00CF5810" w:rsidRPr="00C80F8E">
              <w:rPr>
                <w:rFonts w:ascii="Abadi" w:hAnsi="Abadi" w:cstheme="minorHAnsi"/>
                <w:sz w:val="20"/>
                <w:szCs w:val="20"/>
                <w:lang w:val="es-ES_tradnl"/>
              </w:rPr>
              <w:t>,888.83</w:t>
            </w:r>
          </w:p>
        </w:tc>
      </w:tr>
      <w:tr w:rsidR="00927D98" w:rsidRPr="00C80F8E" w14:paraId="68E96133" w14:textId="77777777" w:rsidTr="00695C8D">
        <w:tc>
          <w:tcPr>
            <w:tcW w:w="4891" w:type="dxa"/>
            <w:tcBorders>
              <w:top w:val="single" w:sz="4" w:space="0" w:color="auto"/>
              <w:left w:val="single" w:sz="4" w:space="0" w:color="auto"/>
              <w:bottom w:val="single" w:sz="4" w:space="0" w:color="auto"/>
              <w:right w:val="nil"/>
            </w:tcBorders>
          </w:tcPr>
          <w:p w14:paraId="36D7E2A4" w14:textId="0DE8E688" w:rsidR="00927D98" w:rsidRPr="00C80F8E" w:rsidRDefault="00927D98" w:rsidP="00927D98">
            <w:pPr>
              <w:rPr>
                <w:rFonts w:ascii="Abadi" w:hAnsi="Abadi" w:cstheme="minorHAnsi"/>
                <w:b/>
                <w:bCs/>
                <w:sz w:val="20"/>
                <w:szCs w:val="20"/>
                <w:lang w:val="es-ES_tradnl"/>
              </w:rPr>
            </w:pPr>
            <w:r w:rsidRPr="00C80F8E">
              <w:rPr>
                <w:rFonts w:ascii="Abadi" w:hAnsi="Abadi" w:cstheme="minorHAnsi"/>
                <w:color w:val="000000"/>
                <w:sz w:val="20"/>
                <w:szCs w:val="20"/>
                <w:lang w:val="es-ES_tradnl"/>
              </w:rPr>
              <w:t>Regalía Pascual</w:t>
            </w:r>
          </w:p>
        </w:tc>
        <w:tc>
          <w:tcPr>
            <w:tcW w:w="2268" w:type="dxa"/>
          </w:tcPr>
          <w:p w14:paraId="131E8B51" w14:textId="22F62686" w:rsidR="00927D98" w:rsidRPr="00C80F8E" w:rsidRDefault="008A7AC1" w:rsidP="00927D98">
            <w:pPr>
              <w:jc w:val="right"/>
              <w:rPr>
                <w:rFonts w:ascii="Abadi" w:hAnsi="Abadi" w:cstheme="minorHAnsi"/>
                <w:sz w:val="20"/>
                <w:szCs w:val="20"/>
                <w:lang w:val="es-ES_tradnl"/>
              </w:rPr>
            </w:pPr>
            <w:r w:rsidRPr="00C80F8E">
              <w:rPr>
                <w:rFonts w:ascii="Abadi" w:hAnsi="Abadi" w:cstheme="minorHAnsi"/>
                <w:sz w:val="20"/>
                <w:szCs w:val="20"/>
                <w:lang w:val="es-ES_tradnl"/>
              </w:rPr>
              <w:t>9,822,509.26</w:t>
            </w:r>
          </w:p>
        </w:tc>
        <w:tc>
          <w:tcPr>
            <w:tcW w:w="2125" w:type="dxa"/>
          </w:tcPr>
          <w:p w14:paraId="15D35ED2" w14:textId="794F9817" w:rsidR="00927D98" w:rsidRPr="00C80F8E" w:rsidRDefault="00CF5810" w:rsidP="00927D98">
            <w:pPr>
              <w:jc w:val="right"/>
              <w:rPr>
                <w:rFonts w:ascii="Abadi" w:hAnsi="Abadi" w:cstheme="minorHAnsi"/>
                <w:sz w:val="20"/>
                <w:szCs w:val="20"/>
                <w:lang w:val="es-ES_tradnl"/>
              </w:rPr>
            </w:pPr>
            <w:r w:rsidRPr="00C80F8E">
              <w:rPr>
                <w:rFonts w:ascii="Abadi" w:hAnsi="Abadi" w:cstheme="minorHAnsi"/>
                <w:sz w:val="20"/>
                <w:szCs w:val="20"/>
                <w:lang w:val="es-ES_tradnl"/>
              </w:rPr>
              <w:t>9,118,335.64</w:t>
            </w:r>
          </w:p>
        </w:tc>
      </w:tr>
      <w:tr w:rsidR="00927D98" w:rsidRPr="00C80F8E" w14:paraId="10C99B37" w14:textId="77777777" w:rsidTr="00695C8D">
        <w:tc>
          <w:tcPr>
            <w:tcW w:w="4891" w:type="dxa"/>
            <w:tcBorders>
              <w:top w:val="single" w:sz="4" w:space="0" w:color="auto"/>
              <w:left w:val="single" w:sz="4" w:space="0" w:color="auto"/>
              <w:bottom w:val="single" w:sz="4" w:space="0" w:color="auto"/>
              <w:right w:val="nil"/>
            </w:tcBorders>
          </w:tcPr>
          <w:p w14:paraId="73CB2845" w14:textId="4FA9DAB5" w:rsidR="00927D98" w:rsidRPr="00C80F8E" w:rsidRDefault="00927D98" w:rsidP="00927D98">
            <w:pPr>
              <w:rPr>
                <w:rFonts w:ascii="Abadi" w:hAnsi="Abadi" w:cstheme="minorHAnsi"/>
                <w:b/>
                <w:bCs/>
                <w:sz w:val="20"/>
                <w:szCs w:val="20"/>
                <w:lang w:val="es-ES_tradnl"/>
              </w:rPr>
            </w:pPr>
            <w:r w:rsidRPr="00C80F8E">
              <w:rPr>
                <w:rFonts w:ascii="Abadi" w:hAnsi="Abadi" w:cstheme="minorHAnsi"/>
                <w:color w:val="000000"/>
                <w:sz w:val="20"/>
                <w:szCs w:val="20"/>
                <w:lang w:val="es-ES_tradnl"/>
              </w:rPr>
              <w:t>Prestaciones Económicas</w:t>
            </w:r>
          </w:p>
        </w:tc>
        <w:tc>
          <w:tcPr>
            <w:tcW w:w="2268" w:type="dxa"/>
          </w:tcPr>
          <w:p w14:paraId="53D4DDD8" w14:textId="6B866CA3" w:rsidR="00927D98" w:rsidRPr="00C80F8E" w:rsidRDefault="008A7AC1" w:rsidP="00927D98">
            <w:pPr>
              <w:jc w:val="right"/>
              <w:rPr>
                <w:rFonts w:ascii="Abadi" w:hAnsi="Abadi" w:cstheme="minorHAnsi"/>
                <w:sz w:val="20"/>
                <w:szCs w:val="20"/>
                <w:lang w:val="es-ES_tradnl"/>
              </w:rPr>
            </w:pPr>
            <w:r w:rsidRPr="00C80F8E">
              <w:rPr>
                <w:rFonts w:ascii="Abadi" w:hAnsi="Abadi" w:cstheme="minorHAnsi"/>
                <w:sz w:val="20"/>
                <w:szCs w:val="20"/>
                <w:lang w:val="es-ES_tradnl"/>
              </w:rPr>
              <w:t>10</w:t>
            </w:r>
            <w:r w:rsidR="002F0335" w:rsidRPr="00C80F8E">
              <w:rPr>
                <w:rFonts w:ascii="Abadi" w:hAnsi="Abadi" w:cstheme="minorHAnsi"/>
                <w:sz w:val="20"/>
                <w:szCs w:val="20"/>
                <w:lang w:val="es-ES_tradnl"/>
              </w:rPr>
              <w:t>,626,422.58</w:t>
            </w:r>
          </w:p>
        </w:tc>
        <w:tc>
          <w:tcPr>
            <w:tcW w:w="2125" w:type="dxa"/>
          </w:tcPr>
          <w:p w14:paraId="284F99BC" w14:textId="01F54889" w:rsidR="00927D98" w:rsidRPr="00C80F8E" w:rsidRDefault="00522886" w:rsidP="00927D98">
            <w:pPr>
              <w:jc w:val="right"/>
              <w:rPr>
                <w:rFonts w:ascii="Abadi" w:hAnsi="Abadi" w:cstheme="minorHAnsi"/>
                <w:sz w:val="20"/>
                <w:szCs w:val="20"/>
                <w:lang w:val="es-ES_tradnl"/>
              </w:rPr>
            </w:pPr>
            <w:r w:rsidRPr="00C80F8E">
              <w:rPr>
                <w:rFonts w:ascii="Abadi" w:hAnsi="Abadi" w:cstheme="minorHAnsi"/>
                <w:sz w:val="20"/>
                <w:szCs w:val="20"/>
                <w:lang w:val="es-ES_tradnl"/>
              </w:rPr>
              <w:t>10,241,054.28</w:t>
            </w:r>
          </w:p>
        </w:tc>
      </w:tr>
      <w:tr w:rsidR="00927D98" w:rsidRPr="00C80F8E" w14:paraId="6C7A4A86" w14:textId="77777777" w:rsidTr="00695C8D">
        <w:tc>
          <w:tcPr>
            <w:tcW w:w="4891" w:type="dxa"/>
            <w:tcBorders>
              <w:top w:val="single" w:sz="4" w:space="0" w:color="auto"/>
              <w:left w:val="single" w:sz="4" w:space="0" w:color="auto"/>
              <w:bottom w:val="single" w:sz="4" w:space="0" w:color="auto"/>
              <w:right w:val="nil"/>
            </w:tcBorders>
          </w:tcPr>
          <w:p w14:paraId="11256334" w14:textId="2CEFC205" w:rsidR="00927D98" w:rsidRPr="00C80F8E" w:rsidRDefault="00927D98" w:rsidP="00927D98">
            <w:pPr>
              <w:rPr>
                <w:rFonts w:ascii="Abadi" w:hAnsi="Abadi" w:cstheme="minorHAnsi"/>
                <w:b/>
                <w:bCs/>
                <w:sz w:val="20"/>
                <w:szCs w:val="20"/>
                <w:lang w:val="es-ES_tradnl"/>
              </w:rPr>
            </w:pPr>
            <w:r w:rsidRPr="00C80F8E">
              <w:rPr>
                <w:rFonts w:ascii="Abadi" w:hAnsi="Abadi" w:cstheme="minorHAnsi"/>
                <w:color w:val="000000"/>
                <w:sz w:val="20"/>
                <w:szCs w:val="20"/>
                <w:lang w:val="es-ES_tradnl"/>
              </w:rPr>
              <w:t>Proporción de Vacaciones no Disfrutadas</w:t>
            </w:r>
          </w:p>
        </w:tc>
        <w:tc>
          <w:tcPr>
            <w:tcW w:w="2268" w:type="dxa"/>
          </w:tcPr>
          <w:p w14:paraId="625B7D02" w14:textId="60A3D46D" w:rsidR="00927D98" w:rsidRPr="00C80F8E" w:rsidRDefault="002F0335" w:rsidP="00927D98">
            <w:pPr>
              <w:jc w:val="right"/>
              <w:rPr>
                <w:rFonts w:ascii="Abadi" w:hAnsi="Abadi" w:cstheme="minorHAnsi"/>
                <w:sz w:val="20"/>
                <w:szCs w:val="20"/>
                <w:lang w:val="es-ES_tradnl"/>
              </w:rPr>
            </w:pPr>
            <w:r w:rsidRPr="00C80F8E">
              <w:rPr>
                <w:rFonts w:ascii="Abadi" w:hAnsi="Abadi" w:cstheme="minorHAnsi"/>
                <w:sz w:val="20"/>
                <w:szCs w:val="20"/>
                <w:lang w:val="es-ES_tradnl"/>
              </w:rPr>
              <w:t>604,987.23</w:t>
            </w:r>
          </w:p>
        </w:tc>
        <w:tc>
          <w:tcPr>
            <w:tcW w:w="2125" w:type="dxa"/>
          </w:tcPr>
          <w:p w14:paraId="6AD79BA0" w14:textId="71A0D79D" w:rsidR="00927D98" w:rsidRPr="00C80F8E" w:rsidRDefault="00522886" w:rsidP="00927D98">
            <w:pPr>
              <w:jc w:val="right"/>
              <w:rPr>
                <w:rFonts w:ascii="Abadi" w:hAnsi="Abadi" w:cstheme="minorHAnsi"/>
                <w:sz w:val="20"/>
                <w:szCs w:val="20"/>
                <w:lang w:val="es-ES_tradnl"/>
              </w:rPr>
            </w:pPr>
            <w:r w:rsidRPr="00C80F8E">
              <w:rPr>
                <w:rFonts w:ascii="Abadi" w:hAnsi="Abadi" w:cstheme="minorHAnsi"/>
                <w:sz w:val="20"/>
                <w:szCs w:val="20"/>
                <w:lang w:val="es-ES_tradnl"/>
              </w:rPr>
              <w:t>592,308.95</w:t>
            </w:r>
          </w:p>
        </w:tc>
      </w:tr>
      <w:tr w:rsidR="00927D98" w:rsidRPr="00C80F8E" w14:paraId="2112C883" w14:textId="77777777" w:rsidTr="00695C8D">
        <w:tc>
          <w:tcPr>
            <w:tcW w:w="4891" w:type="dxa"/>
            <w:tcBorders>
              <w:top w:val="single" w:sz="4" w:space="0" w:color="auto"/>
              <w:left w:val="single" w:sz="4" w:space="0" w:color="auto"/>
              <w:bottom w:val="single" w:sz="4" w:space="0" w:color="auto"/>
              <w:right w:val="nil"/>
            </w:tcBorders>
          </w:tcPr>
          <w:p w14:paraId="3E9B1087" w14:textId="72AA9813" w:rsidR="00927D98" w:rsidRPr="00C80F8E" w:rsidRDefault="00927D98" w:rsidP="00927D98">
            <w:pPr>
              <w:rPr>
                <w:rFonts w:ascii="Abadi" w:hAnsi="Abadi" w:cstheme="minorHAnsi"/>
                <w:b/>
                <w:bCs/>
                <w:sz w:val="20"/>
                <w:szCs w:val="20"/>
                <w:lang w:val="es-ES_tradnl"/>
              </w:rPr>
            </w:pPr>
            <w:r w:rsidRPr="00C80F8E">
              <w:rPr>
                <w:rFonts w:ascii="Abadi" w:hAnsi="Abadi" w:cstheme="minorHAnsi"/>
                <w:color w:val="000000"/>
                <w:sz w:val="20"/>
                <w:szCs w:val="20"/>
                <w:lang w:val="es-ES_tradnl"/>
              </w:rPr>
              <w:t>Gratificación por Aniversario Institucional</w:t>
            </w:r>
          </w:p>
        </w:tc>
        <w:tc>
          <w:tcPr>
            <w:tcW w:w="2268" w:type="dxa"/>
          </w:tcPr>
          <w:p w14:paraId="5DD5ECF9" w14:textId="428D5D21" w:rsidR="00927D98" w:rsidRPr="00C80F8E" w:rsidRDefault="002F0335" w:rsidP="00927D98">
            <w:pPr>
              <w:jc w:val="right"/>
              <w:rPr>
                <w:rFonts w:ascii="Abadi" w:hAnsi="Abadi" w:cstheme="minorHAnsi"/>
                <w:sz w:val="20"/>
                <w:szCs w:val="20"/>
                <w:lang w:val="es-ES_tradnl"/>
              </w:rPr>
            </w:pPr>
            <w:r w:rsidRPr="00C80F8E">
              <w:rPr>
                <w:rFonts w:ascii="Abadi" w:hAnsi="Abadi" w:cstheme="minorHAnsi"/>
                <w:sz w:val="20"/>
                <w:szCs w:val="20"/>
                <w:lang w:val="es-ES_tradnl"/>
              </w:rPr>
              <w:t>19</w:t>
            </w:r>
            <w:r w:rsidR="00836D4F" w:rsidRPr="00C80F8E">
              <w:rPr>
                <w:rFonts w:ascii="Abadi" w:hAnsi="Abadi" w:cstheme="minorHAnsi"/>
                <w:sz w:val="20"/>
                <w:szCs w:val="20"/>
                <w:lang w:val="es-ES_tradnl"/>
              </w:rPr>
              <w:t>,632,749.69</w:t>
            </w:r>
          </w:p>
        </w:tc>
        <w:tc>
          <w:tcPr>
            <w:tcW w:w="2125" w:type="dxa"/>
          </w:tcPr>
          <w:p w14:paraId="72F0F5CE" w14:textId="01531B64" w:rsidR="00927D98" w:rsidRPr="00C80F8E" w:rsidRDefault="00C314F7" w:rsidP="00927D98">
            <w:pPr>
              <w:jc w:val="right"/>
              <w:rPr>
                <w:rFonts w:ascii="Abadi" w:hAnsi="Abadi" w:cstheme="minorHAnsi"/>
                <w:sz w:val="20"/>
                <w:szCs w:val="20"/>
                <w:lang w:val="es-ES_tradnl"/>
              </w:rPr>
            </w:pPr>
            <w:r w:rsidRPr="00C80F8E">
              <w:rPr>
                <w:rFonts w:ascii="Abadi" w:hAnsi="Abadi" w:cstheme="minorHAnsi"/>
                <w:sz w:val="20"/>
                <w:szCs w:val="20"/>
                <w:lang w:val="es-ES_tradnl"/>
              </w:rPr>
              <w:t>18,236,671.28</w:t>
            </w:r>
          </w:p>
        </w:tc>
      </w:tr>
      <w:tr w:rsidR="00927D98" w:rsidRPr="00C80F8E" w14:paraId="5ABF142C" w14:textId="77777777" w:rsidTr="00695C8D">
        <w:tc>
          <w:tcPr>
            <w:tcW w:w="4891" w:type="dxa"/>
            <w:tcBorders>
              <w:top w:val="single" w:sz="4" w:space="0" w:color="auto"/>
              <w:left w:val="single" w:sz="4" w:space="0" w:color="auto"/>
              <w:bottom w:val="single" w:sz="4" w:space="0" w:color="auto"/>
              <w:right w:val="nil"/>
            </w:tcBorders>
          </w:tcPr>
          <w:p w14:paraId="6E7D19F0" w14:textId="10B85AA7" w:rsidR="00927D98" w:rsidRPr="00C80F8E" w:rsidRDefault="00927D98" w:rsidP="00927D98">
            <w:pPr>
              <w:rPr>
                <w:rFonts w:ascii="Abadi" w:hAnsi="Abadi" w:cstheme="minorHAnsi"/>
                <w:b/>
                <w:bCs/>
                <w:sz w:val="20"/>
                <w:szCs w:val="20"/>
                <w:lang w:val="es-ES_tradnl"/>
              </w:rPr>
            </w:pPr>
            <w:r w:rsidRPr="00C80F8E">
              <w:rPr>
                <w:rFonts w:ascii="Abadi" w:hAnsi="Abadi" w:cstheme="minorHAnsi"/>
                <w:color w:val="000000"/>
                <w:sz w:val="20"/>
                <w:szCs w:val="20"/>
                <w:lang w:val="es-ES_tradnl"/>
              </w:rPr>
              <w:t>Prima por Antigüedad</w:t>
            </w:r>
          </w:p>
        </w:tc>
        <w:tc>
          <w:tcPr>
            <w:tcW w:w="2268" w:type="dxa"/>
          </w:tcPr>
          <w:p w14:paraId="505904D2" w14:textId="6FF062A4" w:rsidR="00927D98" w:rsidRPr="00C80F8E" w:rsidRDefault="00836D4F" w:rsidP="00927D98">
            <w:pPr>
              <w:jc w:val="right"/>
              <w:rPr>
                <w:rFonts w:ascii="Abadi" w:hAnsi="Abadi" w:cstheme="minorHAnsi"/>
                <w:sz w:val="20"/>
                <w:szCs w:val="20"/>
                <w:lang w:val="es-ES_tradnl"/>
              </w:rPr>
            </w:pPr>
            <w:r w:rsidRPr="00C80F8E">
              <w:rPr>
                <w:rFonts w:ascii="Abadi" w:hAnsi="Abadi" w:cstheme="minorHAnsi"/>
                <w:sz w:val="20"/>
                <w:szCs w:val="20"/>
                <w:lang w:val="es-ES_tradnl"/>
              </w:rPr>
              <w:t>6,660,902.50</w:t>
            </w:r>
          </w:p>
        </w:tc>
        <w:tc>
          <w:tcPr>
            <w:tcW w:w="2125" w:type="dxa"/>
          </w:tcPr>
          <w:p w14:paraId="021AD737" w14:textId="13DC955F" w:rsidR="00927D98" w:rsidRPr="00C80F8E" w:rsidRDefault="00C314F7" w:rsidP="00927D98">
            <w:pPr>
              <w:jc w:val="right"/>
              <w:rPr>
                <w:rFonts w:ascii="Abadi" w:hAnsi="Abadi" w:cstheme="minorHAnsi"/>
                <w:sz w:val="20"/>
                <w:szCs w:val="20"/>
                <w:lang w:val="es-ES_tradnl"/>
              </w:rPr>
            </w:pPr>
            <w:r w:rsidRPr="00C80F8E">
              <w:rPr>
                <w:rFonts w:ascii="Abadi" w:hAnsi="Abadi" w:cstheme="minorHAnsi"/>
                <w:sz w:val="20"/>
                <w:szCs w:val="20"/>
                <w:lang w:val="es-ES_tradnl"/>
              </w:rPr>
              <w:t>3,988,624.92</w:t>
            </w:r>
          </w:p>
        </w:tc>
      </w:tr>
      <w:tr w:rsidR="002B5188" w:rsidRPr="00C80F8E" w14:paraId="3846155D" w14:textId="77777777" w:rsidTr="00695C8D">
        <w:tc>
          <w:tcPr>
            <w:tcW w:w="4891" w:type="dxa"/>
            <w:tcBorders>
              <w:top w:val="single" w:sz="4" w:space="0" w:color="auto"/>
              <w:left w:val="single" w:sz="4" w:space="0" w:color="auto"/>
              <w:bottom w:val="single" w:sz="4" w:space="0" w:color="auto"/>
              <w:right w:val="nil"/>
            </w:tcBorders>
          </w:tcPr>
          <w:p w14:paraId="13AE3C16" w14:textId="6D2D82B7" w:rsidR="002B5188" w:rsidRPr="00C80F8E" w:rsidRDefault="002B5188" w:rsidP="00927D98">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Bono Escolar</w:t>
            </w:r>
          </w:p>
        </w:tc>
        <w:tc>
          <w:tcPr>
            <w:tcW w:w="2268" w:type="dxa"/>
          </w:tcPr>
          <w:p w14:paraId="1E43E360" w14:textId="426AEBAD" w:rsidR="002B5188" w:rsidRPr="00C80F8E" w:rsidRDefault="0096288E" w:rsidP="00927D98">
            <w:pPr>
              <w:jc w:val="right"/>
              <w:rPr>
                <w:rFonts w:ascii="Abadi" w:hAnsi="Abadi" w:cstheme="minorHAnsi"/>
                <w:sz w:val="20"/>
                <w:szCs w:val="20"/>
                <w:lang w:val="es-ES_tradnl"/>
              </w:rPr>
            </w:pPr>
            <w:r w:rsidRPr="00C80F8E">
              <w:rPr>
                <w:rFonts w:ascii="Abadi" w:hAnsi="Abadi" w:cstheme="minorHAnsi"/>
                <w:sz w:val="20"/>
                <w:szCs w:val="20"/>
                <w:lang w:val="es-ES_tradnl"/>
              </w:rPr>
              <w:t>15,942,857.15</w:t>
            </w:r>
          </w:p>
        </w:tc>
        <w:tc>
          <w:tcPr>
            <w:tcW w:w="2125" w:type="dxa"/>
          </w:tcPr>
          <w:p w14:paraId="2D768E83" w14:textId="76D0BBD1" w:rsidR="002B5188" w:rsidRPr="00C80F8E" w:rsidRDefault="0096288E" w:rsidP="00927D98">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927D98" w:rsidRPr="00C80F8E" w14:paraId="02A528E2" w14:textId="77777777" w:rsidTr="00695C8D">
        <w:tc>
          <w:tcPr>
            <w:tcW w:w="4891" w:type="dxa"/>
            <w:tcBorders>
              <w:top w:val="single" w:sz="4" w:space="0" w:color="auto"/>
              <w:left w:val="single" w:sz="4" w:space="0" w:color="auto"/>
              <w:bottom w:val="single" w:sz="4" w:space="0" w:color="auto"/>
              <w:right w:val="nil"/>
            </w:tcBorders>
          </w:tcPr>
          <w:p w14:paraId="647927BE" w14:textId="0FC8AE57" w:rsidR="00927D98" w:rsidRPr="00C80F8E" w:rsidRDefault="00927D98" w:rsidP="00927D98">
            <w:pPr>
              <w:rPr>
                <w:rFonts w:ascii="Abadi" w:hAnsi="Abadi" w:cstheme="minorHAnsi"/>
                <w:sz w:val="20"/>
                <w:szCs w:val="20"/>
                <w:lang w:val="es-ES_tradnl"/>
              </w:rPr>
            </w:pPr>
            <w:r w:rsidRPr="00C80F8E">
              <w:rPr>
                <w:rFonts w:ascii="Abadi" w:hAnsi="Abadi" w:cstheme="minorHAnsi"/>
                <w:color w:val="000000"/>
                <w:sz w:val="20"/>
                <w:szCs w:val="20"/>
                <w:lang w:val="es-ES_tradnl"/>
              </w:rPr>
              <w:t>Otras Gratificaciones</w:t>
            </w:r>
          </w:p>
        </w:tc>
        <w:tc>
          <w:tcPr>
            <w:tcW w:w="2268" w:type="dxa"/>
          </w:tcPr>
          <w:p w14:paraId="16F69BB0" w14:textId="011061E9" w:rsidR="00927D98" w:rsidRPr="00C80F8E" w:rsidRDefault="004C50DB" w:rsidP="00927D98">
            <w:pPr>
              <w:jc w:val="right"/>
              <w:rPr>
                <w:rFonts w:ascii="Abadi" w:hAnsi="Abadi" w:cstheme="minorHAnsi"/>
                <w:sz w:val="20"/>
                <w:szCs w:val="20"/>
                <w:lang w:val="es-ES_tradnl"/>
              </w:rPr>
            </w:pPr>
            <w:r w:rsidRPr="00C80F8E">
              <w:rPr>
                <w:rFonts w:ascii="Abadi" w:hAnsi="Abadi" w:cstheme="minorHAnsi"/>
                <w:sz w:val="20"/>
                <w:szCs w:val="20"/>
                <w:lang w:val="es-ES_tradnl"/>
              </w:rPr>
              <w:t>42,587,770.50</w:t>
            </w:r>
          </w:p>
        </w:tc>
        <w:tc>
          <w:tcPr>
            <w:tcW w:w="2125" w:type="dxa"/>
          </w:tcPr>
          <w:p w14:paraId="0DBF657D" w14:textId="12D26134" w:rsidR="00927D98" w:rsidRPr="00C80F8E" w:rsidRDefault="00660C51" w:rsidP="00927D98">
            <w:pPr>
              <w:jc w:val="right"/>
              <w:rPr>
                <w:rFonts w:ascii="Abadi" w:hAnsi="Abadi" w:cstheme="minorHAnsi"/>
                <w:sz w:val="20"/>
                <w:szCs w:val="20"/>
                <w:lang w:val="es-ES_tradnl"/>
              </w:rPr>
            </w:pPr>
            <w:r w:rsidRPr="00C80F8E">
              <w:rPr>
                <w:rFonts w:ascii="Abadi" w:hAnsi="Abadi" w:cstheme="minorHAnsi"/>
                <w:sz w:val="20"/>
                <w:szCs w:val="20"/>
                <w:lang w:val="es-ES_tradnl"/>
              </w:rPr>
              <w:t>18,457,210.16</w:t>
            </w:r>
          </w:p>
        </w:tc>
      </w:tr>
      <w:tr w:rsidR="00927D98" w:rsidRPr="00C80F8E" w14:paraId="0DAF189A" w14:textId="77777777" w:rsidTr="00695C8D">
        <w:tc>
          <w:tcPr>
            <w:tcW w:w="4891" w:type="dxa"/>
            <w:tcBorders>
              <w:top w:val="single" w:sz="4" w:space="0" w:color="auto"/>
              <w:left w:val="single" w:sz="4" w:space="0" w:color="auto"/>
              <w:bottom w:val="single" w:sz="4" w:space="0" w:color="auto"/>
              <w:right w:val="nil"/>
            </w:tcBorders>
          </w:tcPr>
          <w:p w14:paraId="151E099F" w14:textId="2586B268" w:rsidR="00927D98" w:rsidRPr="00C80F8E" w:rsidRDefault="00927D98" w:rsidP="00927D98">
            <w:pPr>
              <w:rPr>
                <w:rFonts w:ascii="Abadi" w:hAnsi="Abadi" w:cstheme="minorHAnsi"/>
                <w:sz w:val="20"/>
                <w:szCs w:val="20"/>
                <w:lang w:val="es-ES_tradnl"/>
              </w:rPr>
            </w:pPr>
            <w:r w:rsidRPr="00C80F8E">
              <w:rPr>
                <w:rFonts w:ascii="Abadi" w:hAnsi="Abadi" w:cstheme="minorHAnsi"/>
                <w:color w:val="000000"/>
                <w:sz w:val="20"/>
                <w:szCs w:val="20"/>
                <w:lang w:val="es-ES_tradnl"/>
              </w:rPr>
              <w:t>Contribuciones al Seguro de Salud</w:t>
            </w:r>
          </w:p>
        </w:tc>
        <w:tc>
          <w:tcPr>
            <w:tcW w:w="2268" w:type="dxa"/>
          </w:tcPr>
          <w:p w14:paraId="3C63CFFD" w14:textId="3BE762B0" w:rsidR="00927D98" w:rsidRPr="00C80F8E" w:rsidRDefault="004C50DB" w:rsidP="00927D98">
            <w:pPr>
              <w:jc w:val="right"/>
              <w:rPr>
                <w:rFonts w:ascii="Abadi" w:hAnsi="Abadi" w:cstheme="minorHAnsi"/>
                <w:sz w:val="20"/>
                <w:szCs w:val="20"/>
                <w:lang w:val="es-ES_tradnl"/>
              </w:rPr>
            </w:pPr>
            <w:r w:rsidRPr="00C80F8E">
              <w:rPr>
                <w:rFonts w:ascii="Abadi" w:hAnsi="Abadi" w:cstheme="minorHAnsi"/>
                <w:sz w:val="20"/>
                <w:szCs w:val="20"/>
                <w:lang w:val="es-ES_tradnl"/>
              </w:rPr>
              <w:t>7</w:t>
            </w:r>
            <w:r w:rsidR="00AA15A8" w:rsidRPr="00C80F8E">
              <w:rPr>
                <w:rFonts w:ascii="Abadi" w:hAnsi="Abadi" w:cstheme="minorHAnsi"/>
                <w:sz w:val="20"/>
                <w:szCs w:val="20"/>
                <w:lang w:val="es-ES_tradnl"/>
              </w:rPr>
              <w:t>,</w:t>
            </w:r>
            <w:r w:rsidRPr="00C80F8E">
              <w:rPr>
                <w:rFonts w:ascii="Abadi" w:hAnsi="Abadi" w:cstheme="minorHAnsi"/>
                <w:sz w:val="20"/>
                <w:szCs w:val="20"/>
                <w:lang w:val="es-ES_tradnl"/>
              </w:rPr>
              <w:t>601</w:t>
            </w:r>
            <w:r w:rsidR="00AA15A8" w:rsidRPr="00C80F8E">
              <w:rPr>
                <w:rFonts w:ascii="Abadi" w:hAnsi="Abadi" w:cstheme="minorHAnsi"/>
                <w:sz w:val="20"/>
                <w:szCs w:val="20"/>
                <w:lang w:val="es-ES_tradnl"/>
              </w:rPr>
              <w:t>,</w:t>
            </w:r>
            <w:r w:rsidRPr="00C80F8E">
              <w:rPr>
                <w:rFonts w:ascii="Abadi" w:hAnsi="Abadi" w:cstheme="minorHAnsi"/>
                <w:sz w:val="20"/>
                <w:szCs w:val="20"/>
                <w:lang w:val="es-ES_tradnl"/>
              </w:rPr>
              <w:t>303</w:t>
            </w:r>
            <w:r w:rsidR="00AA15A8" w:rsidRPr="00C80F8E">
              <w:rPr>
                <w:rFonts w:ascii="Abadi" w:hAnsi="Abadi" w:cstheme="minorHAnsi"/>
                <w:sz w:val="20"/>
                <w:szCs w:val="20"/>
                <w:lang w:val="es-ES_tradnl"/>
              </w:rPr>
              <w:t>.89</w:t>
            </w:r>
          </w:p>
        </w:tc>
        <w:tc>
          <w:tcPr>
            <w:tcW w:w="2125" w:type="dxa"/>
          </w:tcPr>
          <w:p w14:paraId="5C2EE25E" w14:textId="5E58172C" w:rsidR="00927D98" w:rsidRPr="00C80F8E" w:rsidRDefault="00D3625E" w:rsidP="00927D98">
            <w:pPr>
              <w:jc w:val="right"/>
              <w:rPr>
                <w:rFonts w:ascii="Abadi" w:hAnsi="Abadi" w:cstheme="minorHAnsi"/>
                <w:sz w:val="20"/>
                <w:szCs w:val="20"/>
                <w:lang w:val="es-ES_tradnl"/>
              </w:rPr>
            </w:pPr>
            <w:r w:rsidRPr="00C80F8E">
              <w:rPr>
                <w:rFonts w:ascii="Abadi" w:hAnsi="Abadi" w:cstheme="minorHAnsi"/>
                <w:sz w:val="20"/>
                <w:szCs w:val="20"/>
                <w:lang w:val="es-ES_tradnl"/>
              </w:rPr>
              <w:t>7,172,445.21</w:t>
            </w:r>
          </w:p>
        </w:tc>
      </w:tr>
      <w:tr w:rsidR="00927D98" w:rsidRPr="00C80F8E" w14:paraId="3BE44E34" w14:textId="77777777" w:rsidTr="00695C8D">
        <w:tc>
          <w:tcPr>
            <w:tcW w:w="4891" w:type="dxa"/>
            <w:tcBorders>
              <w:top w:val="single" w:sz="4" w:space="0" w:color="auto"/>
              <w:left w:val="single" w:sz="4" w:space="0" w:color="auto"/>
              <w:bottom w:val="single" w:sz="4" w:space="0" w:color="auto"/>
              <w:right w:val="nil"/>
            </w:tcBorders>
          </w:tcPr>
          <w:p w14:paraId="114F875E" w14:textId="5DFA35AA" w:rsidR="00927D98" w:rsidRPr="00C80F8E" w:rsidRDefault="00927D98" w:rsidP="00927D98">
            <w:pPr>
              <w:rPr>
                <w:rFonts w:ascii="Abadi" w:hAnsi="Abadi" w:cstheme="minorHAnsi"/>
                <w:sz w:val="20"/>
                <w:szCs w:val="20"/>
                <w:lang w:val="es-ES_tradnl"/>
              </w:rPr>
            </w:pPr>
            <w:r w:rsidRPr="00C80F8E">
              <w:rPr>
                <w:rFonts w:ascii="Abadi" w:hAnsi="Abadi" w:cstheme="minorHAnsi"/>
                <w:color w:val="000000"/>
                <w:sz w:val="20"/>
                <w:szCs w:val="20"/>
                <w:lang w:val="es-ES_tradnl"/>
              </w:rPr>
              <w:t>Contribuciones al Seguro de Pensiones</w:t>
            </w:r>
          </w:p>
        </w:tc>
        <w:tc>
          <w:tcPr>
            <w:tcW w:w="2268" w:type="dxa"/>
          </w:tcPr>
          <w:p w14:paraId="3308D633" w14:textId="025C5C75" w:rsidR="00927D98" w:rsidRPr="00C80F8E" w:rsidRDefault="00AA15A8" w:rsidP="00927D98">
            <w:pPr>
              <w:jc w:val="right"/>
              <w:rPr>
                <w:rFonts w:ascii="Abadi" w:hAnsi="Abadi" w:cstheme="minorHAnsi"/>
                <w:sz w:val="20"/>
                <w:szCs w:val="20"/>
                <w:lang w:val="es-ES_tradnl"/>
              </w:rPr>
            </w:pPr>
            <w:r w:rsidRPr="00C80F8E">
              <w:rPr>
                <w:rFonts w:ascii="Abadi" w:hAnsi="Abadi" w:cstheme="minorHAnsi"/>
                <w:sz w:val="20"/>
                <w:szCs w:val="20"/>
                <w:lang w:val="es-ES_tradnl"/>
              </w:rPr>
              <w:t>8,212,154.46</w:t>
            </w:r>
          </w:p>
        </w:tc>
        <w:tc>
          <w:tcPr>
            <w:tcW w:w="2125" w:type="dxa"/>
          </w:tcPr>
          <w:p w14:paraId="750E2D14" w14:textId="569B2F60" w:rsidR="00927D98" w:rsidRPr="00C80F8E" w:rsidRDefault="00D3625E" w:rsidP="00927D98">
            <w:pPr>
              <w:jc w:val="right"/>
              <w:rPr>
                <w:rFonts w:ascii="Abadi" w:hAnsi="Abadi" w:cstheme="minorHAnsi"/>
                <w:sz w:val="20"/>
                <w:szCs w:val="20"/>
                <w:lang w:val="es-ES_tradnl"/>
              </w:rPr>
            </w:pPr>
            <w:r w:rsidRPr="00C80F8E">
              <w:rPr>
                <w:rFonts w:ascii="Abadi" w:hAnsi="Abadi" w:cstheme="minorHAnsi"/>
                <w:sz w:val="20"/>
                <w:szCs w:val="20"/>
                <w:lang w:val="es-ES_tradnl"/>
              </w:rPr>
              <w:t>7,685,783.31</w:t>
            </w:r>
          </w:p>
        </w:tc>
      </w:tr>
      <w:tr w:rsidR="00927D98" w:rsidRPr="00C80F8E" w14:paraId="6ADE2F84" w14:textId="77777777" w:rsidTr="00695C8D">
        <w:tc>
          <w:tcPr>
            <w:tcW w:w="4891" w:type="dxa"/>
            <w:tcBorders>
              <w:top w:val="single" w:sz="4" w:space="0" w:color="auto"/>
              <w:left w:val="single" w:sz="4" w:space="0" w:color="auto"/>
              <w:bottom w:val="single" w:sz="4" w:space="0" w:color="auto"/>
              <w:right w:val="nil"/>
            </w:tcBorders>
          </w:tcPr>
          <w:p w14:paraId="4098F722" w14:textId="370A76D7" w:rsidR="00927D98" w:rsidRPr="00C80F8E" w:rsidRDefault="00927D98" w:rsidP="00927D98">
            <w:pPr>
              <w:rPr>
                <w:rFonts w:ascii="Abadi" w:hAnsi="Abadi" w:cstheme="minorHAnsi"/>
                <w:sz w:val="20"/>
                <w:szCs w:val="20"/>
                <w:lang w:val="es-ES_tradnl"/>
              </w:rPr>
            </w:pPr>
            <w:r w:rsidRPr="00C80F8E">
              <w:rPr>
                <w:rFonts w:ascii="Abadi" w:hAnsi="Abadi" w:cstheme="minorHAnsi"/>
                <w:color w:val="000000"/>
                <w:sz w:val="20"/>
                <w:szCs w:val="20"/>
                <w:lang w:val="es-ES_tradnl"/>
              </w:rPr>
              <w:t>Contribuciones al Seguro de Riesgo Laboral</w:t>
            </w:r>
          </w:p>
        </w:tc>
        <w:tc>
          <w:tcPr>
            <w:tcW w:w="2268" w:type="dxa"/>
          </w:tcPr>
          <w:p w14:paraId="474DAFD0" w14:textId="1D52C48A" w:rsidR="00927D98" w:rsidRPr="00C80F8E" w:rsidRDefault="00D46ADA" w:rsidP="00927D98">
            <w:pPr>
              <w:jc w:val="right"/>
              <w:rPr>
                <w:rFonts w:ascii="Abadi" w:hAnsi="Abadi" w:cs="Arial"/>
                <w:color w:val="000000"/>
                <w:sz w:val="20"/>
                <w:szCs w:val="20"/>
                <w:lang w:val="es-ES_tradnl"/>
              </w:rPr>
            </w:pPr>
            <w:r w:rsidRPr="00C80F8E">
              <w:rPr>
                <w:rFonts w:ascii="Abadi" w:hAnsi="Abadi" w:cs="Arial"/>
                <w:color w:val="000000"/>
                <w:sz w:val="20"/>
                <w:szCs w:val="20"/>
                <w:lang w:val="es-ES_tradnl"/>
              </w:rPr>
              <w:t>833,984.31</w:t>
            </w:r>
          </w:p>
        </w:tc>
        <w:tc>
          <w:tcPr>
            <w:tcW w:w="2125" w:type="dxa"/>
          </w:tcPr>
          <w:p w14:paraId="0A5E9DF3" w14:textId="7972E59D" w:rsidR="00927D98" w:rsidRPr="00C80F8E" w:rsidRDefault="00D8616A" w:rsidP="00927D98">
            <w:pPr>
              <w:jc w:val="right"/>
              <w:rPr>
                <w:rFonts w:ascii="Abadi" w:hAnsi="Abadi" w:cstheme="minorHAnsi"/>
                <w:sz w:val="20"/>
                <w:szCs w:val="20"/>
                <w:lang w:val="es-ES_tradnl"/>
              </w:rPr>
            </w:pPr>
            <w:r w:rsidRPr="00C80F8E">
              <w:rPr>
                <w:rFonts w:ascii="Abadi" w:hAnsi="Abadi" w:cstheme="minorHAnsi"/>
                <w:sz w:val="20"/>
                <w:szCs w:val="20"/>
                <w:lang w:val="es-ES_tradnl"/>
              </w:rPr>
              <w:t>806,820.15</w:t>
            </w:r>
          </w:p>
        </w:tc>
      </w:tr>
      <w:tr w:rsidR="00677B02" w:rsidRPr="00C80F8E" w14:paraId="337290E6" w14:textId="77777777" w:rsidTr="00695C8D">
        <w:tc>
          <w:tcPr>
            <w:tcW w:w="4891" w:type="dxa"/>
          </w:tcPr>
          <w:p w14:paraId="21E704AF" w14:textId="01105D8B" w:rsidR="00677B02" w:rsidRPr="00C80F8E" w:rsidRDefault="00677B02" w:rsidP="00677B02">
            <w:pPr>
              <w:rPr>
                <w:rFonts w:ascii="Abadi" w:hAnsi="Abadi" w:cstheme="minorHAnsi"/>
                <w:b/>
                <w:bCs/>
                <w:iCs/>
                <w:color w:val="000000"/>
                <w:sz w:val="20"/>
                <w:szCs w:val="20"/>
                <w:lang w:val="es-ES_tradnl"/>
              </w:rPr>
            </w:pPr>
            <w:r w:rsidRPr="00C80F8E">
              <w:rPr>
                <w:rFonts w:ascii="Abadi" w:hAnsi="Abadi" w:cstheme="minorHAnsi"/>
                <w:b/>
                <w:bCs/>
                <w:sz w:val="20"/>
                <w:szCs w:val="20"/>
                <w:lang w:val="es-ES_tradnl"/>
              </w:rPr>
              <w:t>Total</w:t>
            </w:r>
          </w:p>
        </w:tc>
        <w:tc>
          <w:tcPr>
            <w:tcW w:w="2268" w:type="dxa"/>
          </w:tcPr>
          <w:p w14:paraId="36AB6C24" w14:textId="2467E9A8" w:rsidR="00677B02" w:rsidRPr="00C80F8E" w:rsidRDefault="00761E44" w:rsidP="00677B02">
            <w:pPr>
              <w:jc w:val="right"/>
              <w:rPr>
                <w:rFonts w:ascii="Abadi" w:hAnsi="Abadi" w:cs="Arial"/>
                <w:b/>
                <w:bCs/>
                <w:color w:val="000000"/>
                <w:sz w:val="20"/>
                <w:szCs w:val="20"/>
                <w:lang w:val="es-ES_tradnl"/>
              </w:rPr>
            </w:pPr>
            <w:r w:rsidRPr="00C80F8E">
              <w:rPr>
                <w:rFonts w:ascii="Abadi" w:hAnsi="Abadi" w:cs="Arial"/>
                <w:b/>
                <w:bCs/>
                <w:color w:val="000000"/>
                <w:sz w:val="20"/>
                <w:szCs w:val="20"/>
                <w:lang w:val="es-ES_tradnl"/>
              </w:rPr>
              <w:t>271,237,426.15</w:t>
            </w:r>
          </w:p>
        </w:tc>
        <w:tc>
          <w:tcPr>
            <w:tcW w:w="2125" w:type="dxa"/>
          </w:tcPr>
          <w:p w14:paraId="69606E41" w14:textId="5F9F3F78" w:rsidR="00677B02" w:rsidRPr="00C80F8E" w:rsidRDefault="00D8616A" w:rsidP="00677B02">
            <w:pPr>
              <w:jc w:val="right"/>
              <w:rPr>
                <w:rFonts w:ascii="Abadi" w:hAnsi="Abadi" w:cstheme="minorHAnsi"/>
                <w:b/>
                <w:bCs/>
                <w:sz w:val="20"/>
                <w:szCs w:val="20"/>
                <w:lang w:val="es-ES_tradnl"/>
              </w:rPr>
            </w:pPr>
            <w:r w:rsidRPr="00C80F8E">
              <w:rPr>
                <w:rFonts w:ascii="Abadi" w:hAnsi="Abadi" w:cstheme="minorHAnsi"/>
                <w:b/>
                <w:bCs/>
                <w:sz w:val="20"/>
                <w:szCs w:val="20"/>
                <w:lang w:val="es-ES_tradnl"/>
              </w:rPr>
              <w:t>209,931,537.05</w:t>
            </w:r>
          </w:p>
        </w:tc>
      </w:tr>
    </w:tbl>
    <w:p w14:paraId="7BD78602" w14:textId="77777777" w:rsidR="008A1CFB" w:rsidRDefault="008A1CFB" w:rsidP="0071210E">
      <w:pPr>
        <w:spacing w:line="240" w:lineRule="auto"/>
        <w:contextualSpacing/>
        <w:rPr>
          <w:rFonts w:ascii="Abadi" w:hAnsi="Abadi" w:cstheme="minorHAnsi"/>
          <w:bCs/>
          <w:sz w:val="20"/>
          <w:szCs w:val="20"/>
          <w:lang w:val="es-ES_tradnl"/>
        </w:rPr>
      </w:pPr>
    </w:p>
    <w:p w14:paraId="15D3A837" w14:textId="77777777" w:rsidR="00B4362B" w:rsidRDefault="00B4362B" w:rsidP="0071210E">
      <w:pPr>
        <w:spacing w:line="240" w:lineRule="auto"/>
        <w:contextualSpacing/>
        <w:rPr>
          <w:rFonts w:ascii="Abadi" w:hAnsi="Abadi" w:cstheme="minorHAnsi"/>
          <w:bCs/>
          <w:sz w:val="20"/>
          <w:szCs w:val="20"/>
          <w:lang w:val="es-ES_tradnl"/>
        </w:rPr>
      </w:pPr>
    </w:p>
    <w:p w14:paraId="4FC4807D" w14:textId="77777777" w:rsidR="00B4362B" w:rsidRDefault="00B4362B" w:rsidP="0071210E">
      <w:pPr>
        <w:spacing w:line="240" w:lineRule="auto"/>
        <w:contextualSpacing/>
        <w:rPr>
          <w:rFonts w:ascii="Abadi" w:hAnsi="Abadi" w:cstheme="minorHAnsi"/>
          <w:bCs/>
          <w:sz w:val="20"/>
          <w:szCs w:val="20"/>
          <w:lang w:val="es-ES_tradnl"/>
        </w:rPr>
      </w:pPr>
    </w:p>
    <w:p w14:paraId="5AAC7BF4" w14:textId="77777777" w:rsidR="00B4362B" w:rsidRDefault="00B4362B" w:rsidP="0071210E">
      <w:pPr>
        <w:spacing w:line="240" w:lineRule="auto"/>
        <w:contextualSpacing/>
        <w:rPr>
          <w:rFonts w:ascii="Abadi" w:hAnsi="Abadi" w:cstheme="minorHAnsi"/>
          <w:bCs/>
          <w:sz w:val="20"/>
          <w:szCs w:val="20"/>
          <w:lang w:val="es-ES_tradnl"/>
        </w:rPr>
      </w:pPr>
    </w:p>
    <w:p w14:paraId="21437BC0" w14:textId="77777777" w:rsidR="00B4362B" w:rsidRDefault="00B4362B" w:rsidP="0071210E">
      <w:pPr>
        <w:spacing w:line="240" w:lineRule="auto"/>
        <w:contextualSpacing/>
        <w:rPr>
          <w:rFonts w:ascii="Abadi" w:hAnsi="Abadi" w:cstheme="minorHAnsi"/>
          <w:bCs/>
          <w:sz w:val="20"/>
          <w:szCs w:val="20"/>
          <w:lang w:val="es-ES_tradnl"/>
        </w:rPr>
      </w:pPr>
    </w:p>
    <w:p w14:paraId="5A08DB26" w14:textId="77777777" w:rsidR="00B4362B" w:rsidRPr="00C80F8E" w:rsidRDefault="00B4362B" w:rsidP="0071210E">
      <w:pPr>
        <w:spacing w:line="240" w:lineRule="auto"/>
        <w:contextualSpacing/>
        <w:rPr>
          <w:rFonts w:ascii="Abadi" w:hAnsi="Abadi" w:cstheme="minorHAnsi"/>
          <w:bCs/>
          <w:sz w:val="20"/>
          <w:szCs w:val="20"/>
          <w:lang w:val="es-ES_tradnl"/>
        </w:rPr>
      </w:pPr>
    </w:p>
    <w:p w14:paraId="50662A67" w14:textId="77777777" w:rsidR="008376EC" w:rsidRPr="00C80F8E" w:rsidRDefault="00A05691" w:rsidP="00A7606E">
      <w:pPr>
        <w:pStyle w:val="Prrafodelista"/>
        <w:numPr>
          <w:ilvl w:val="0"/>
          <w:numId w:val="1"/>
        </w:numPr>
        <w:spacing w:line="240" w:lineRule="auto"/>
        <w:ind w:left="283" w:hanging="357"/>
        <w:rPr>
          <w:rFonts w:ascii="Abadi" w:hAnsi="Abadi" w:cstheme="minorHAnsi"/>
          <w:b/>
          <w:sz w:val="20"/>
          <w:szCs w:val="20"/>
          <w:lang w:val="es-ES_tradnl"/>
        </w:rPr>
      </w:pPr>
      <w:r w:rsidRPr="00C80F8E">
        <w:rPr>
          <w:rFonts w:ascii="Abadi" w:hAnsi="Abadi" w:cstheme="minorHAnsi"/>
          <w:b/>
          <w:sz w:val="20"/>
          <w:szCs w:val="20"/>
          <w:lang w:val="es-ES_tradnl"/>
        </w:rPr>
        <w:t>Subvenciones y otros pagos por transferencias</w:t>
      </w:r>
    </w:p>
    <w:p w14:paraId="7A759F09" w14:textId="70F8B03C" w:rsidR="008376EC" w:rsidRPr="00C80F8E" w:rsidRDefault="00773AC8" w:rsidP="00773AC8">
      <w:pPr>
        <w:jc w:val="both"/>
        <w:rPr>
          <w:rFonts w:ascii="Abadi" w:hAnsi="Abadi" w:cstheme="minorHAnsi"/>
          <w:bCs/>
          <w:sz w:val="20"/>
          <w:szCs w:val="20"/>
          <w:lang w:val="es-ES_tradnl"/>
        </w:rPr>
      </w:pPr>
      <w:r w:rsidRPr="00C80F8E">
        <w:rPr>
          <w:rFonts w:ascii="Abadi" w:hAnsi="Abadi" w:cstheme="minorHAnsi"/>
          <w:bCs/>
          <w:sz w:val="20"/>
          <w:szCs w:val="20"/>
          <w:lang w:val="es-ES_tradnl"/>
        </w:rPr>
        <w:t xml:space="preserve">Al 30 de junio de 2025, el total de transferencias corrientes ejecutadas ascendió a RD$3,192,990.61, mientras que al </w:t>
      </w:r>
      <w:r w:rsidR="000944C4">
        <w:rPr>
          <w:rFonts w:ascii="Abadi" w:hAnsi="Abadi" w:cstheme="minorHAnsi"/>
          <w:bCs/>
          <w:sz w:val="20"/>
          <w:szCs w:val="20"/>
          <w:lang w:val="es-ES_tradnl"/>
        </w:rPr>
        <w:t>30 de junio</w:t>
      </w:r>
      <w:r w:rsidRPr="00C80F8E">
        <w:rPr>
          <w:rFonts w:ascii="Abadi" w:hAnsi="Abadi" w:cstheme="minorHAnsi"/>
          <w:bCs/>
          <w:sz w:val="20"/>
          <w:szCs w:val="20"/>
          <w:lang w:val="es-ES_tradnl"/>
        </w:rPr>
        <w:t xml:space="preserve"> del año 2024 se registraron RD$1,384,327.50. Esta diferencia representa un incremento absoluto de RD$1,808,663.11 y una variación relativa positiva de 130.62%</w:t>
      </w:r>
      <w:r w:rsidR="008376EC" w:rsidRPr="00C80F8E">
        <w:rPr>
          <w:rFonts w:ascii="Abadi" w:hAnsi="Abadi" w:cstheme="minorHAnsi"/>
          <w:bCs/>
          <w:sz w:val="20"/>
          <w:szCs w:val="20"/>
          <w:lang w:val="es-ES_tradnl"/>
        </w:rPr>
        <w:t>:</w:t>
      </w:r>
    </w:p>
    <w:tbl>
      <w:tblPr>
        <w:tblStyle w:val="Tablaconcuadrcula"/>
        <w:tblW w:w="0" w:type="auto"/>
        <w:tblInd w:w="66" w:type="dxa"/>
        <w:tblLook w:val="04A0" w:firstRow="1" w:lastRow="0" w:firstColumn="1" w:lastColumn="0" w:noHBand="0" w:noVBand="1"/>
      </w:tblPr>
      <w:tblGrid>
        <w:gridCol w:w="4891"/>
        <w:gridCol w:w="2268"/>
        <w:gridCol w:w="2125"/>
      </w:tblGrid>
      <w:tr w:rsidR="008376EC" w:rsidRPr="00C80F8E" w14:paraId="50FD7AC7" w14:textId="77777777" w:rsidTr="006C2D82">
        <w:tc>
          <w:tcPr>
            <w:tcW w:w="4891" w:type="dxa"/>
            <w:shd w:val="clear" w:color="auto" w:fill="0070C0"/>
          </w:tcPr>
          <w:p w14:paraId="0D631283" w14:textId="77777777" w:rsidR="008376EC" w:rsidRPr="00C80F8E" w:rsidRDefault="008376E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2CC9D0FB" w14:textId="3AA29863" w:rsidR="008376EC"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4220AA" w:rsidRPr="00C80F8E">
              <w:rPr>
                <w:rFonts w:ascii="Abadi" w:hAnsi="Abadi" w:cstheme="minorHAnsi"/>
                <w:b/>
                <w:bCs/>
                <w:color w:val="FFFFFF" w:themeColor="background1"/>
                <w:sz w:val="20"/>
                <w:szCs w:val="20"/>
                <w:lang w:val="es-ES_tradnl"/>
              </w:rPr>
              <w:t>5</w:t>
            </w:r>
          </w:p>
        </w:tc>
        <w:tc>
          <w:tcPr>
            <w:tcW w:w="2125" w:type="dxa"/>
            <w:shd w:val="clear" w:color="auto" w:fill="0070C0"/>
          </w:tcPr>
          <w:p w14:paraId="5562F929" w14:textId="0BBC7F85" w:rsidR="008376EC"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4220AA" w:rsidRPr="00C80F8E">
              <w:rPr>
                <w:rFonts w:ascii="Abadi" w:hAnsi="Abadi" w:cstheme="minorHAnsi"/>
                <w:b/>
                <w:bCs/>
                <w:color w:val="FFFFFF" w:themeColor="background1"/>
                <w:sz w:val="20"/>
                <w:szCs w:val="20"/>
                <w:lang w:val="es-ES_tradnl"/>
              </w:rPr>
              <w:t>4</w:t>
            </w:r>
          </w:p>
        </w:tc>
      </w:tr>
      <w:tr w:rsidR="00C224A5" w:rsidRPr="00C80F8E" w14:paraId="29926E87" w14:textId="77777777">
        <w:tc>
          <w:tcPr>
            <w:tcW w:w="4891" w:type="dxa"/>
          </w:tcPr>
          <w:p w14:paraId="7452BB41" w14:textId="7E49BFDF" w:rsidR="00C224A5" w:rsidRPr="00C80F8E" w:rsidRDefault="00C224A5" w:rsidP="00C224A5">
            <w:pPr>
              <w:jc w:val="both"/>
              <w:rPr>
                <w:rFonts w:ascii="Abadi" w:hAnsi="Abadi" w:cstheme="minorHAnsi"/>
                <w:sz w:val="20"/>
                <w:szCs w:val="20"/>
                <w:lang w:val="es-ES_tradnl"/>
              </w:rPr>
            </w:pPr>
            <w:r w:rsidRPr="00C80F8E">
              <w:rPr>
                <w:rFonts w:ascii="Abadi" w:hAnsi="Abadi" w:cstheme="minorHAnsi"/>
                <w:iCs/>
                <w:color w:val="000000"/>
                <w:sz w:val="20"/>
                <w:szCs w:val="20"/>
                <w:lang w:val="es-ES_tradnl"/>
              </w:rPr>
              <w:t xml:space="preserve">Transferencias </w:t>
            </w:r>
            <w:proofErr w:type="spellStart"/>
            <w:r w:rsidRPr="00C80F8E">
              <w:rPr>
                <w:rFonts w:ascii="Abadi" w:hAnsi="Abadi" w:cstheme="minorHAnsi"/>
                <w:iCs/>
                <w:color w:val="000000"/>
                <w:sz w:val="20"/>
                <w:szCs w:val="20"/>
                <w:lang w:val="es-ES_tradnl"/>
              </w:rPr>
              <w:t>Ctes</w:t>
            </w:r>
            <w:proofErr w:type="spellEnd"/>
            <w:r w:rsidRPr="00C80F8E">
              <w:rPr>
                <w:rFonts w:ascii="Abadi" w:hAnsi="Abadi" w:cstheme="minorHAnsi"/>
                <w:iCs/>
                <w:color w:val="000000"/>
                <w:sz w:val="20"/>
                <w:szCs w:val="20"/>
                <w:lang w:val="es-ES_tradnl"/>
              </w:rPr>
              <w:t>. A Inst. Sin Fines de Lucro</w:t>
            </w:r>
          </w:p>
        </w:tc>
        <w:tc>
          <w:tcPr>
            <w:tcW w:w="2268" w:type="dxa"/>
          </w:tcPr>
          <w:p w14:paraId="24E6A420" w14:textId="5ECA00C6" w:rsidR="00C224A5" w:rsidRPr="00C80F8E" w:rsidRDefault="00D55339" w:rsidP="00C224A5">
            <w:pPr>
              <w:jc w:val="right"/>
              <w:rPr>
                <w:rFonts w:ascii="Abadi" w:hAnsi="Abadi" w:cstheme="minorHAnsi"/>
                <w:sz w:val="20"/>
                <w:szCs w:val="20"/>
                <w:lang w:val="es-ES_tradnl"/>
              </w:rPr>
            </w:pPr>
            <w:r w:rsidRPr="00C80F8E">
              <w:rPr>
                <w:rFonts w:ascii="Abadi" w:hAnsi="Abadi" w:cstheme="minorHAnsi"/>
                <w:sz w:val="20"/>
                <w:szCs w:val="20"/>
                <w:lang w:val="es-ES_tradnl"/>
              </w:rPr>
              <w:t>13</w:t>
            </w:r>
            <w:r w:rsidR="00C91D03" w:rsidRPr="00C80F8E">
              <w:rPr>
                <w:rFonts w:ascii="Abadi" w:hAnsi="Abadi" w:cstheme="minorHAnsi"/>
                <w:sz w:val="20"/>
                <w:szCs w:val="20"/>
                <w:lang w:val="es-ES_tradnl"/>
              </w:rPr>
              <w:t>,</w:t>
            </w:r>
            <w:r w:rsidRPr="00C80F8E">
              <w:rPr>
                <w:rFonts w:ascii="Abadi" w:hAnsi="Abadi" w:cstheme="minorHAnsi"/>
                <w:sz w:val="20"/>
                <w:szCs w:val="20"/>
                <w:lang w:val="es-ES_tradnl"/>
              </w:rPr>
              <w:t>500</w:t>
            </w:r>
            <w:r w:rsidR="00C91D03" w:rsidRPr="00C80F8E">
              <w:rPr>
                <w:rFonts w:ascii="Abadi" w:hAnsi="Abadi" w:cstheme="minorHAnsi"/>
                <w:sz w:val="20"/>
                <w:szCs w:val="20"/>
                <w:lang w:val="es-ES_tradnl"/>
              </w:rPr>
              <w:t>.00</w:t>
            </w:r>
          </w:p>
        </w:tc>
        <w:tc>
          <w:tcPr>
            <w:tcW w:w="2125" w:type="dxa"/>
            <w:vAlign w:val="center"/>
          </w:tcPr>
          <w:p w14:paraId="3F332EAD" w14:textId="41ADFE90" w:rsidR="00C224A5" w:rsidRPr="00C80F8E" w:rsidRDefault="004D44D8" w:rsidP="00C224A5">
            <w:pPr>
              <w:jc w:val="right"/>
              <w:rPr>
                <w:rFonts w:ascii="Abadi" w:hAnsi="Abadi" w:cstheme="minorHAnsi"/>
                <w:sz w:val="20"/>
                <w:szCs w:val="20"/>
                <w:lang w:val="es-ES_tradnl"/>
              </w:rPr>
            </w:pPr>
            <w:r w:rsidRPr="00C80F8E">
              <w:rPr>
                <w:rFonts w:ascii="Abadi" w:hAnsi="Abadi" w:cstheme="minorHAnsi"/>
                <w:sz w:val="20"/>
                <w:szCs w:val="20"/>
                <w:lang w:val="es-ES_tradnl"/>
              </w:rPr>
              <w:t>235,000.00</w:t>
            </w:r>
          </w:p>
        </w:tc>
      </w:tr>
      <w:tr w:rsidR="00C224A5" w:rsidRPr="00C80F8E" w14:paraId="0A57E9A6" w14:textId="77777777" w:rsidTr="00297694">
        <w:tc>
          <w:tcPr>
            <w:tcW w:w="4891" w:type="dxa"/>
          </w:tcPr>
          <w:p w14:paraId="71A6F60D" w14:textId="7A649E39" w:rsidR="00C224A5" w:rsidRPr="00C80F8E" w:rsidRDefault="00C224A5" w:rsidP="00C224A5">
            <w:pPr>
              <w:jc w:val="both"/>
              <w:rPr>
                <w:rFonts w:ascii="Abadi" w:hAnsi="Abadi" w:cstheme="minorHAnsi"/>
                <w:sz w:val="20"/>
                <w:szCs w:val="20"/>
                <w:lang w:val="es-ES_tradnl"/>
              </w:rPr>
            </w:pPr>
            <w:r w:rsidRPr="00C80F8E">
              <w:rPr>
                <w:rFonts w:ascii="Abadi" w:hAnsi="Abadi" w:cstheme="minorHAnsi"/>
                <w:iCs/>
                <w:color w:val="000000"/>
                <w:sz w:val="20"/>
                <w:szCs w:val="20"/>
                <w:lang w:val="es-ES_tradnl"/>
              </w:rPr>
              <w:t xml:space="preserve">Transferencias </w:t>
            </w:r>
            <w:proofErr w:type="spellStart"/>
            <w:r w:rsidRPr="00C80F8E">
              <w:rPr>
                <w:rFonts w:ascii="Abadi" w:hAnsi="Abadi" w:cstheme="minorHAnsi"/>
                <w:iCs/>
                <w:color w:val="000000"/>
                <w:sz w:val="20"/>
                <w:szCs w:val="20"/>
                <w:lang w:val="es-ES_tradnl"/>
              </w:rPr>
              <w:t>Ctes</w:t>
            </w:r>
            <w:proofErr w:type="spellEnd"/>
            <w:r w:rsidRPr="00C80F8E">
              <w:rPr>
                <w:rFonts w:ascii="Abadi" w:hAnsi="Abadi" w:cstheme="minorHAnsi"/>
                <w:iCs/>
                <w:color w:val="000000"/>
                <w:sz w:val="20"/>
                <w:szCs w:val="20"/>
                <w:lang w:val="es-ES_tradnl"/>
              </w:rPr>
              <w:t>.  A Organismos Internacionales</w:t>
            </w:r>
          </w:p>
        </w:tc>
        <w:tc>
          <w:tcPr>
            <w:tcW w:w="2268" w:type="dxa"/>
          </w:tcPr>
          <w:p w14:paraId="2D3A35BA" w14:textId="19705297" w:rsidR="00D70E33" w:rsidRPr="00C80F8E" w:rsidRDefault="00D70E33" w:rsidP="00D70E33">
            <w:pPr>
              <w:jc w:val="right"/>
              <w:rPr>
                <w:rFonts w:ascii="Abadi" w:hAnsi="Abadi" w:cstheme="minorHAnsi"/>
                <w:sz w:val="20"/>
                <w:szCs w:val="20"/>
                <w:lang w:val="es-ES_tradnl"/>
              </w:rPr>
            </w:pPr>
            <w:r w:rsidRPr="00C80F8E">
              <w:rPr>
                <w:rFonts w:ascii="Abadi" w:hAnsi="Abadi" w:cstheme="minorHAnsi"/>
                <w:sz w:val="20"/>
                <w:szCs w:val="20"/>
                <w:lang w:val="es-ES_tradnl"/>
              </w:rPr>
              <w:t>1,563,994.50</w:t>
            </w:r>
          </w:p>
        </w:tc>
        <w:tc>
          <w:tcPr>
            <w:tcW w:w="2125" w:type="dxa"/>
          </w:tcPr>
          <w:p w14:paraId="2D2BF4B7" w14:textId="3A267888" w:rsidR="00C224A5" w:rsidRPr="00C80F8E" w:rsidRDefault="004D44D8" w:rsidP="00C224A5">
            <w:pPr>
              <w:jc w:val="right"/>
              <w:rPr>
                <w:rFonts w:ascii="Abadi" w:hAnsi="Abadi" w:cstheme="minorHAnsi"/>
                <w:sz w:val="20"/>
                <w:szCs w:val="20"/>
                <w:lang w:val="es-ES_tradnl"/>
              </w:rPr>
            </w:pPr>
            <w:r w:rsidRPr="00C80F8E">
              <w:rPr>
                <w:rFonts w:ascii="Abadi" w:hAnsi="Abadi" w:cstheme="minorHAnsi"/>
                <w:sz w:val="20"/>
                <w:szCs w:val="20"/>
                <w:lang w:val="es-ES_tradnl"/>
              </w:rPr>
              <w:t>730,387.50</w:t>
            </w:r>
          </w:p>
        </w:tc>
      </w:tr>
      <w:tr w:rsidR="00D70E33" w:rsidRPr="00C80F8E" w14:paraId="2CBBCC06" w14:textId="77777777" w:rsidTr="00297694">
        <w:tc>
          <w:tcPr>
            <w:tcW w:w="4891" w:type="dxa"/>
          </w:tcPr>
          <w:p w14:paraId="4C24EBF6" w14:textId="683E13B3" w:rsidR="00D70E33" w:rsidRPr="00C80F8E" w:rsidRDefault="007A14E5" w:rsidP="00C224A5">
            <w:pPr>
              <w:jc w:val="both"/>
              <w:rPr>
                <w:rFonts w:ascii="Abadi" w:hAnsi="Abadi" w:cstheme="minorHAnsi"/>
                <w:iCs/>
                <w:color w:val="000000"/>
                <w:sz w:val="20"/>
                <w:szCs w:val="20"/>
                <w:lang w:val="es-ES_tradnl"/>
              </w:rPr>
            </w:pPr>
            <w:r w:rsidRPr="00C80F8E">
              <w:rPr>
                <w:rFonts w:ascii="Abadi" w:hAnsi="Abadi" w:cstheme="minorHAnsi"/>
                <w:iCs/>
                <w:color w:val="000000"/>
                <w:sz w:val="20"/>
                <w:szCs w:val="20"/>
                <w:lang w:val="es-ES_tradnl"/>
              </w:rPr>
              <w:t xml:space="preserve">Otras Transferencia </w:t>
            </w:r>
            <w:proofErr w:type="spellStart"/>
            <w:r w:rsidRPr="00C80F8E">
              <w:rPr>
                <w:rFonts w:ascii="Abadi" w:hAnsi="Abadi" w:cstheme="minorHAnsi"/>
                <w:iCs/>
                <w:color w:val="000000"/>
                <w:sz w:val="20"/>
                <w:szCs w:val="20"/>
                <w:lang w:val="es-ES_tradnl"/>
              </w:rPr>
              <w:t>Ctes</w:t>
            </w:r>
            <w:proofErr w:type="spellEnd"/>
            <w:r w:rsidRPr="00C80F8E">
              <w:rPr>
                <w:rFonts w:ascii="Abadi" w:hAnsi="Abadi" w:cstheme="minorHAnsi"/>
                <w:iCs/>
                <w:color w:val="000000"/>
                <w:sz w:val="20"/>
                <w:szCs w:val="20"/>
                <w:lang w:val="es-ES_tradnl"/>
              </w:rPr>
              <w:t xml:space="preserve"> a Inst. Seguridad Social</w:t>
            </w:r>
          </w:p>
        </w:tc>
        <w:tc>
          <w:tcPr>
            <w:tcW w:w="2268" w:type="dxa"/>
          </w:tcPr>
          <w:p w14:paraId="3F7D19F4" w14:textId="452BBD8A" w:rsidR="00D70E33" w:rsidRPr="00C80F8E" w:rsidRDefault="00DD7FF3" w:rsidP="00D70E33">
            <w:pPr>
              <w:jc w:val="right"/>
              <w:rPr>
                <w:rFonts w:ascii="Abadi" w:hAnsi="Abadi" w:cstheme="minorHAnsi"/>
                <w:sz w:val="20"/>
                <w:szCs w:val="20"/>
                <w:lang w:val="es-ES_tradnl"/>
              </w:rPr>
            </w:pPr>
            <w:r w:rsidRPr="00C80F8E">
              <w:rPr>
                <w:rFonts w:ascii="Abadi" w:hAnsi="Abadi" w:cstheme="minorHAnsi"/>
                <w:sz w:val="20"/>
                <w:szCs w:val="20"/>
                <w:lang w:val="es-ES_tradnl"/>
              </w:rPr>
              <w:t>1,000,000.00</w:t>
            </w:r>
          </w:p>
        </w:tc>
        <w:tc>
          <w:tcPr>
            <w:tcW w:w="2125" w:type="dxa"/>
          </w:tcPr>
          <w:p w14:paraId="3D597A76" w14:textId="64CF98BE" w:rsidR="00D70E33" w:rsidRPr="00C80F8E" w:rsidRDefault="007A14E5" w:rsidP="00C224A5">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C224A5" w:rsidRPr="00C80F8E" w14:paraId="58FA0752" w14:textId="77777777" w:rsidTr="00297694">
        <w:tc>
          <w:tcPr>
            <w:tcW w:w="4891" w:type="dxa"/>
          </w:tcPr>
          <w:p w14:paraId="69AB3E9F" w14:textId="67CEB045" w:rsidR="00C224A5" w:rsidRPr="00C80F8E" w:rsidRDefault="00C224A5" w:rsidP="00C224A5">
            <w:pPr>
              <w:jc w:val="both"/>
              <w:rPr>
                <w:rFonts w:ascii="Abadi" w:hAnsi="Abadi" w:cstheme="minorHAnsi"/>
                <w:sz w:val="20"/>
                <w:szCs w:val="20"/>
                <w:lang w:val="es-ES_tradnl"/>
              </w:rPr>
            </w:pPr>
            <w:r w:rsidRPr="00C80F8E">
              <w:rPr>
                <w:rFonts w:ascii="Abadi" w:hAnsi="Abadi" w:cstheme="minorHAnsi"/>
                <w:iCs/>
                <w:color w:val="000000"/>
                <w:sz w:val="20"/>
                <w:szCs w:val="20"/>
                <w:lang w:val="es-ES_tradnl"/>
              </w:rPr>
              <w:t>Becas nacionales</w:t>
            </w:r>
          </w:p>
        </w:tc>
        <w:tc>
          <w:tcPr>
            <w:tcW w:w="2268" w:type="dxa"/>
          </w:tcPr>
          <w:p w14:paraId="698E583D" w14:textId="54FB30E7" w:rsidR="00C224A5" w:rsidRPr="00C80F8E" w:rsidRDefault="00DD7FF3" w:rsidP="00C224A5">
            <w:pPr>
              <w:jc w:val="right"/>
              <w:rPr>
                <w:rFonts w:ascii="Abadi" w:hAnsi="Abadi" w:cstheme="minorHAnsi"/>
                <w:sz w:val="20"/>
                <w:szCs w:val="20"/>
                <w:lang w:val="es-ES_tradnl"/>
              </w:rPr>
            </w:pPr>
            <w:r w:rsidRPr="00C80F8E">
              <w:rPr>
                <w:rFonts w:ascii="Abadi" w:hAnsi="Abadi" w:cstheme="minorHAnsi"/>
                <w:sz w:val="20"/>
                <w:szCs w:val="20"/>
                <w:lang w:val="es-ES_tradnl"/>
              </w:rPr>
              <w:t>132,050.00</w:t>
            </w:r>
          </w:p>
        </w:tc>
        <w:tc>
          <w:tcPr>
            <w:tcW w:w="2125" w:type="dxa"/>
          </w:tcPr>
          <w:p w14:paraId="14DC0D61" w14:textId="72787ABA" w:rsidR="00C224A5" w:rsidRPr="00C80F8E" w:rsidRDefault="002B04E8" w:rsidP="00C224A5">
            <w:pPr>
              <w:jc w:val="right"/>
              <w:rPr>
                <w:rFonts w:ascii="Abadi" w:hAnsi="Abadi" w:cstheme="minorHAnsi"/>
                <w:sz w:val="20"/>
                <w:szCs w:val="20"/>
                <w:lang w:val="es-ES_tradnl"/>
              </w:rPr>
            </w:pPr>
            <w:r w:rsidRPr="00C80F8E">
              <w:rPr>
                <w:rFonts w:ascii="Abadi" w:hAnsi="Abadi" w:cstheme="minorHAnsi"/>
                <w:sz w:val="20"/>
                <w:szCs w:val="20"/>
                <w:lang w:val="es-ES_tradnl"/>
              </w:rPr>
              <w:t>300,840.00</w:t>
            </w:r>
          </w:p>
        </w:tc>
      </w:tr>
      <w:tr w:rsidR="00C224A5" w:rsidRPr="00C80F8E" w14:paraId="26483DD1" w14:textId="77777777" w:rsidTr="00297694">
        <w:tc>
          <w:tcPr>
            <w:tcW w:w="4891" w:type="dxa"/>
          </w:tcPr>
          <w:p w14:paraId="0AF7C0C4" w14:textId="4F36076C" w:rsidR="00C224A5" w:rsidRPr="00C80F8E" w:rsidRDefault="00C224A5" w:rsidP="00C224A5">
            <w:pPr>
              <w:jc w:val="both"/>
              <w:rPr>
                <w:rFonts w:ascii="Abadi" w:hAnsi="Abadi" w:cstheme="minorHAnsi"/>
                <w:sz w:val="20"/>
                <w:szCs w:val="20"/>
                <w:lang w:val="es-ES_tradnl"/>
              </w:rPr>
            </w:pPr>
            <w:r w:rsidRPr="00C80F8E">
              <w:rPr>
                <w:rFonts w:ascii="Abadi" w:hAnsi="Abadi" w:cstheme="minorHAnsi"/>
                <w:iCs/>
                <w:color w:val="000000"/>
                <w:sz w:val="20"/>
                <w:szCs w:val="20"/>
                <w:lang w:val="es-ES_tradnl"/>
              </w:rPr>
              <w:t>Becas internacionales</w:t>
            </w:r>
          </w:p>
        </w:tc>
        <w:tc>
          <w:tcPr>
            <w:tcW w:w="2268" w:type="dxa"/>
          </w:tcPr>
          <w:p w14:paraId="5DAAC8DD" w14:textId="5AAE790E" w:rsidR="00C224A5" w:rsidRPr="00C80F8E" w:rsidRDefault="000219E0" w:rsidP="00C224A5">
            <w:pPr>
              <w:jc w:val="right"/>
              <w:rPr>
                <w:rFonts w:ascii="Abadi" w:hAnsi="Abadi" w:cstheme="minorHAnsi"/>
                <w:sz w:val="20"/>
                <w:szCs w:val="20"/>
                <w:lang w:val="es-ES_tradnl"/>
              </w:rPr>
            </w:pPr>
            <w:r w:rsidRPr="00C80F8E">
              <w:rPr>
                <w:rFonts w:ascii="Abadi" w:hAnsi="Abadi" w:cstheme="minorHAnsi"/>
                <w:sz w:val="20"/>
                <w:szCs w:val="20"/>
                <w:lang w:val="es-ES_tradnl"/>
              </w:rPr>
              <w:t>483,446.11</w:t>
            </w:r>
          </w:p>
        </w:tc>
        <w:tc>
          <w:tcPr>
            <w:tcW w:w="2125" w:type="dxa"/>
          </w:tcPr>
          <w:p w14:paraId="7BE89FD2" w14:textId="3C2DA38D" w:rsidR="00C224A5" w:rsidRPr="00C80F8E" w:rsidRDefault="002B04E8" w:rsidP="00C224A5">
            <w:pPr>
              <w:jc w:val="right"/>
              <w:rPr>
                <w:rFonts w:ascii="Abadi" w:hAnsi="Abadi" w:cstheme="minorHAnsi"/>
                <w:sz w:val="20"/>
                <w:szCs w:val="20"/>
                <w:lang w:val="es-ES_tradnl"/>
              </w:rPr>
            </w:pPr>
            <w:r w:rsidRPr="00C80F8E">
              <w:rPr>
                <w:rFonts w:ascii="Abadi" w:hAnsi="Abadi" w:cstheme="minorHAnsi"/>
                <w:sz w:val="20"/>
                <w:szCs w:val="20"/>
                <w:lang w:val="es-ES_tradnl"/>
              </w:rPr>
              <w:t>118,100.00</w:t>
            </w:r>
          </w:p>
        </w:tc>
      </w:tr>
      <w:tr w:rsidR="00D80262" w:rsidRPr="00C80F8E" w14:paraId="66523F90" w14:textId="77777777" w:rsidTr="00BE659C">
        <w:tc>
          <w:tcPr>
            <w:tcW w:w="4891" w:type="dxa"/>
          </w:tcPr>
          <w:p w14:paraId="4E5E0270" w14:textId="77777777" w:rsidR="00D80262" w:rsidRPr="00C80F8E" w:rsidRDefault="00D80262" w:rsidP="00D80262">
            <w:pPr>
              <w:jc w:val="both"/>
              <w:rPr>
                <w:rFonts w:ascii="Abadi" w:hAnsi="Abadi" w:cstheme="minorHAnsi"/>
                <w:b/>
                <w:bCs/>
                <w:sz w:val="20"/>
                <w:szCs w:val="20"/>
                <w:lang w:val="es-ES_tradnl"/>
              </w:rPr>
            </w:pPr>
            <w:r w:rsidRPr="00C80F8E">
              <w:rPr>
                <w:rFonts w:ascii="Abadi" w:hAnsi="Abadi" w:cstheme="minorHAnsi"/>
                <w:b/>
                <w:bCs/>
                <w:sz w:val="20"/>
                <w:szCs w:val="20"/>
                <w:lang w:val="es-ES_tradnl"/>
              </w:rPr>
              <w:t xml:space="preserve">Total </w:t>
            </w:r>
          </w:p>
        </w:tc>
        <w:tc>
          <w:tcPr>
            <w:tcW w:w="2268" w:type="dxa"/>
            <w:tcBorders>
              <w:top w:val="single" w:sz="12" w:space="0" w:color="auto"/>
              <w:bottom w:val="double" w:sz="4" w:space="0" w:color="auto"/>
            </w:tcBorders>
          </w:tcPr>
          <w:p w14:paraId="07906BD1" w14:textId="6A753FF2" w:rsidR="00D80262" w:rsidRPr="00C80F8E" w:rsidRDefault="000936C1" w:rsidP="00A2275A">
            <w:pPr>
              <w:jc w:val="right"/>
              <w:rPr>
                <w:rFonts w:ascii="Abadi" w:hAnsi="Abadi" w:cs="Arial"/>
                <w:b/>
                <w:bCs/>
                <w:color w:val="000000"/>
                <w:sz w:val="20"/>
                <w:szCs w:val="20"/>
                <w:lang w:val="es-ES_tradnl"/>
              </w:rPr>
            </w:pPr>
            <w:r w:rsidRPr="00C80F8E">
              <w:rPr>
                <w:rFonts w:ascii="Abadi" w:hAnsi="Abadi" w:cs="Arial"/>
                <w:b/>
                <w:bCs/>
                <w:color w:val="000000"/>
                <w:sz w:val="20"/>
                <w:szCs w:val="20"/>
                <w:lang w:val="es-ES_tradnl"/>
              </w:rPr>
              <w:t>3,192,990.61</w:t>
            </w:r>
          </w:p>
        </w:tc>
        <w:tc>
          <w:tcPr>
            <w:tcW w:w="2125" w:type="dxa"/>
            <w:tcBorders>
              <w:top w:val="single" w:sz="12" w:space="0" w:color="auto"/>
              <w:bottom w:val="double" w:sz="4" w:space="0" w:color="auto"/>
            </w:tcBorders>
          </w:tcPr>
          <w:p w14:paraId="4A84DE55" w14:textId="5A297874" w:rsidR="00D80262" w:rsidRPr="00C80F8E" w:rsidRDefault="000B74DD" w:rsidP="00D80262">
            <w:pPr>
              <w:jc w:val="right"/>
              <w:rPr>
                <w:rFonts w:ascii="Abadi" w:hAnsi="Abadi" w:cstheme="minorHAnsi"/>
                <w:b/>
                <w:bCs/>
                <w:sz w:val="20"/>
                <w:szCs w:val="20"/>
                <w:lang w:val="es-ES_tradnl"/>
              </w:rPr>
            </w:pPr>
            <w:r w:rsidRPr="00C80F8E">
              <w:rPr>
                <w:rFonts w:ascii="Abadi" w:hAnsi="Abadi" w:cstheme="minorHAnsi"/>
                <w:b/>
                <w:bCs/>
                <w:sz w:val="20"/>
                <w:szCs w:val="20"/>
                <w:lang w:val="es-ES_tradnl"/>
              </w:rPr>
              <w:t>1,384,327.50</w:t>
            </w:r>
          </w:p>
        </w:tc>
      </w:tr>
    </w:tbl>
    <w:p w14:paraId="3E07FF8C" w14:textId="77777777" w:rsidR="00793998" w:rsidRDefault="00793998" w:rsidP="00C14B79">
      <w:pPr>
        <w:spacing w:line="240" w:lineRule="auto"/>
        <w:contextualSpacing/>
        <w:rPr>
          <w:rFonts w:ascii="Abadi" w:hAnsi="Abadi" w:cstheme="minorHAnsi"/>
          <w:b/>
          <w:sz w:val="20"/>
          <w:szCs w:val="20"/>
          <w:lang w:val="es-ES_tradnl"/>
        </w:rPr>
      </w:pPr>
    </w:p>
    <w:p w14:paraId="0B70DC51" w14:textId="77777777" w:rsidR="005F4E56" w:rsidRPr="005F4E56" w:rsidRDefault="005F4E56" w:rsidP="005F4E56">
      <w:pPr>
        <w:spacing w:before="100" w:beforeAutospacing="1" w:after="100" w:afterAutospacing="1" w:line="240" w:lineRule="auto"/>
        <w:outlineLvl w:val="3"/>
        <w:rPr>
          <w:rFonts w:ascii="Abadi" w:eastAsia="Times New Roman" w:hAnsi="Abadi" w:cs="Times New Roman"/>
          <w:b/>
          <w:bCs/>
          <w:sz w:val="20"/>
          <w:szCs w:val="20"/>
          <w:lang w:val="es-DO" w:eastAsia="es-DO"/>
        </w:rPr>
      </w:pPr>
      <w:r w:rsidRPr="005F4E56">
        <w:rPr>
          <w:rFonts w:ascii="Abadi" w:eastAsia="Times New Roman" w:hAnsi="Abadi" w:cs="Times New Roman"/>
          <w:b/>
          <w:bCs/>
          <w:sz w:val="20"/>
          <w:szCs w:val="20"/>
          <w:lang w:val="es-DO" w:eastAsia="es-DO"/>
        </w:rPr>
        <w:t>Detalle de las transferencias 2025:</w:t>
      </w:r>
    </w:p>
    <w:p w14:paraId="03C0C2E8" w14:textId="77777777" w:rsidR="005F4E56" w:rsidRPr="005F4E56" w:rsidRDefault="005F4E56" w:rsidP="005F4E56">
      <w:pPr>
        <w:numPr>
          <w:ilvl w:val="0"/>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b/>
          <w:bCs/>
          <w:sz w:val="20"/>
          <w:szCs w:val="20"/>
          <w:lang w:val="es-DO" w:eastAsia="es-DO"/>
        </w:rPr>
        <w:t xml:space="preserve">Transferencias </w:t>
      </w:r>
      <w:proofErr w:type="spellStart"/>
      <w:r w:rsidRPr="005F4E56">
        <w:rPr>
          <w:rFonts w:ascii="Abadi" w:eastAsia="Times New Roman" w:hAnsi="Abadi" w:cs="Times New Roman"/>
          <w:b/>
          <w:bCs/>
          <w:sz w:val="20"/>
          <w:szCs w:val="20"/>
          <w:lang w:val="es-DO" w:eastAsia="es-DO"/>
        </w:rPr>
        <w:t>Ctes</w:t>
      </w:r>
      <w:proofErr w:type="spellEnd"/>
      <w:r w:rsidRPr="005F4E56">
        <w:rPr>
          <w:rFonts w:ascii="Abadi" w:eastAsia="Times New Roman" w:hAnsi="Abadi" w:cs="Times New Roman"/>
          <w:b/>
          <w:bCs/>
          <w:sz w:val="20"/>
          <w:szCs w:val="20"/>
          <w:lang w:val="es-DO" w:eastAsia="es-DO"/>
        </w:rPr>
        <w:t>. a Instituciones Sin Fines de Lucro:</w:t>
      </w:r>
      <w:r w:rsidRPr="005F4E56">
        <w:rPr>
          <w:rFonts w:ascii="Abadi" w:eastAsia="Times New Roman" w:hAnsi="Abadi" w:cs="Times New Roman"/>
          <w:sz w:val="20"/>
          <w:szCs w:val="20"/>
          <w:lang w:val="es-DO" w:eastAsia="es-DO"/>
        </w:rPr>
        <w:br/>
        <w:t xml:space="preserve">A la Asociación Dominicana de Administradores de Gestión Humana (ADOARH) por un monto de </w:t>
      </w:r>
      <w:r w:rsidRPr="005F4E56">
        <w:rPr>
          <w:rFonts w:ascii="Abadi" w:eastAsia="Times New Roman" w:hAnsi="Abadi" w:cs="Times New Roman"/>
          <w:b/>
          <w:bCs/>
          <w:sz w:val="20"/>
          <w:szCs w:val="20"/>
          <w:lang w:val="es-DO" w:eastAsia="es-DO"/>
        </w:rPr>
        <w:t>RD$13,500.00</w:t>
      </w:r>
      <w:r w:rsidRPr="005F4E56">
        <w:rPr>
          <w:rFonts w:ascii="Abadi" w:eastAsia="Times New Roman" w:hAnsi="Abadi" w:cs="Times New Roman"/>
          <w:sz w:val="20"/>
          <w:szCs w:val="20"/>
          <w:lang w:val="es-DO" w:eastAsia="es-DO"/>
        </w:rPr>
        <w:t>.</w:t>
      </w:r>
    </w:p>
    <w:p w14:paraId="1501E998" w14:textId="77777777" w:rsidR="005F4E56" w:rsidRPr="005F4E56" w:rsidRDefault="005F4E56" w:rsidP="005F4E56">
      <w:pPr>
        <w:numPr>
          <w:ilvl w:val="0"/>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b/>
          <w:bCs/>
          <w:sz w:val="20"/>
          <w:szCs w:val="20"/>
          <w:lang w:val="es-DO" w:eastAsia="es-DO"/>
        </w:rPr>
        <w:t xml:space="preserve">Transferencias </w:t>
      </w:r>
      <w:proofErr w:type="spellStart"/>
      <w:r w:rsidRPr="005F4E56">
        <w:rPr>
          <w:rFonts w:ascii="Abadi" w:eastAsia="Times New Roman" w:hAnsi="Abadi" w:cs="Times New Roman"/>
          <w:b/>
          <w:bCs/>
          <w:sz w:val="20"/>
          <w:szCs w:val="20"/>
          <w:lang w:val="es-DO" w:eastAsia="es-DO"/>
        </w:rPr>
        <w:t>Ctes</w:t>
      </w:r>
      <w:proofErr w:type="spellEnd"/>
      <w:r w:rsidRPr="005F4E56">
        <w:rPr>
          <w:rFonts w:ascii="Abadi" w:eastAsia="Times New Roman" w:hAnsi="Abadi" w:cs="Times New Roman"/>
          <w:b/>
          <w:bCs/>
          <w:sz w:val="20"/>
          <w:szCs w:val="20"/>
          <w:lang w:val="es-DO" w:eastAsia="es-DO"/>
        </w:rPr>
        <w:t>. a Organismos Internacionales:</w:t>
      </w:r>
      <w:r w:rsidRPr="005F4E56">
        <w:rPr>
          <w:rFonts w:ascii="Abadi" w:eastAsia="Times New Roman" w:hAnsi="Abadi" w:cs="Times New Roman"/>
          <w:sz w:val="20"/>
          <w:szCs w:val="20"/>
          <w:lang w:val="es-DO" w:eastAsia="es-DO"/>
        </w:rPr>
        <w:br/>
        <w:t>Compuestas por:</w:t>
      </w:r>
    </w:p>
    <w:p w14:paraId="056B1F40" w14:textId="59192F6B" w:rsidR="005F4E56" w:rsidRPr="005F4E56" w:rsidRDefault="005F4E56" w:rsidP="005F4E56">
      <w:pPr>
        <w:numPr>
          <w:ilvl w:val="1"/>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sz w:val="20"/>
          <w:szCs w:val="20"/>
          <w:lang w:val="es-DO" w:eastAsia="es-DO"/>
        </w:rPr>
        <w:t>AIOS 2025: RD$</w:t>
      </w:r>
      <w:r w:rsidR="00F13A02">
        <w:rPr>
          <w:rFonts w:ascii="Abadi" w:eastAsia="Times New Roman" w:hAnsi="Abadi" w:cs="Times New Roman"/>
          <w:sz w:val="20"/>
          <w:szCs w:val="20"/>
          <w:lang w:val="es-DO" w:eastAsia="es-DO"/>
        </w:rPr>
        <w:t>146,550.00</w:t>
      </w:r>
    </w:p>
    <w:p w14:paraId="799A821C" w14:textId="5E929192" w:rsidR="005F4E56" w:rsidRPr="005F4E56" w:rsidRDefault="005F4E56" w:rsidP="005F4E56">
      <w:pPr>
        <w:numPr>
          <w:ilvl w:val="1"/>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sz w:val="20"/>
          <w:szCs w:val="20"/>
          <w:lang w:val="es-DO" w:eastAsia="es-DO"/>
        </w:rPr>
        <w:t>OISS 2025: RD$</w:t>
      </w:r>
      <w:r w:rsidR="00911083">
        <w:rPr>
          <w:rFonts w:ascii="Abadi" w:eastAsia="Times New Roman" w:hAnsi="Abadi" w:cs="Times New Roman"/>
          <w:sz w:val="20"/>
          <w:szCs w:val="20"/>
          <w:lang w:val="es-DO" w:eastAsia="es-DO"/>
        </w:rPr>
        <w:t>223,861.50</w:t>
      </w:r>
    </w:p>
    <w:p w14:paraId="377E5E4A" w14:textId="1C474E32" w:rsidR="005F4E56" w:rsidRPr="005F4E56" w:rsidRDefault="005F4E56" w:rsidP="005F4E56">
      <w:pPr>
        <w:numPr>
          <w:ilvl w:val="1"/>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sz w:val="20"/>
          <w:szCs w:val="20"/>
          <w:lang w:val="es-DO" w:eastAsia="es-DO"/>
        </w:rPr>
        <w:t>IOPS 2025: RD$</w:t>
      </w:r>
      <w:r w:rsidR="00850785">
        <w:rPr>
          <w:rFonts w:ascii="Abadi" w:eastAsia="Times New Roman" w:hAnsi="Abadi" w:cs="Times New Roman"/>
          <w:sz w:val="20"/>
          <w:szCs w:val="20"/>
          <w:lang w:val="es-DO" w:eastAsia="es-DO"/>
        </w:rPr>
        <w:t>555,617.25</w:t>
      </w:r>
    </w:p>
    <w:p w14:paraId="05F408F0" w14:textId="5B98A617" w:rsidR="005F4E56" w:rsidRPr="005F4E56" w:rsidRDefault="005F4E56" w:rsidP="005F4E56">
      <w:pPr>
        <w:numPr>
          <w:ilvl w:val="1"/>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sz w:val="20"/>
          <w:szCs w:val="20"/>
          <w:lang w:val="es-DO" w:eastAsia="es-DO"/>
        </w:rPr>
        <w:t>CISS 2025: RD$</w:t>
      </w:r>
      <w:r w:rsidR="00850785">
        <w:rPr>
          <w:rFonts w:ascii="Abadi" w:eastAsia="Times New Roman" w:hAnsi="Abadi" w:cs="Times New Roman"/>
          <w:sz w:val="20"/>
          <w:szCs w:val="20"/>
          <w:lang w:val="es-DO" w:eastAsia="es-DO"/>
        </w:rPr>
        <w:t>637,965.75</w:t>
      </w:r>
    </w:p>
    <w:p w14:paraId="05ABDD40" w14:textId="77777777" w:rsidR="005F4E56" w:rsidRPr="005F4E56" w:rsidRDefault="005F4E56" w:rsidP="005F4E56">
      <w:pPr>
        <w:numPr>
          <w:ilvl w:val="0"/>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b/>
          <w:bCs/>
          <w:sz w:val="20"/>
          <w:szCs w:val="20"/>
          <w:lang w:val="es-DO" w:eastAsia="es-DO"/>
        </w:rPr>
        <w:t>Otras Transferencias Corrientes a Instituciones de la Seguridad Social:</w:t>
      </w:r>
      <w:r w:rsidRPr="005F4E56">
        <w:rPr>
          <w:rFonts w:ascii="Abadi" w:eastAsia="Times New Roman" w:hAnsi="Abadi" w:cs="Times New Roman"/>
          <w:sz w:val="20"/>
          <w:szCs w:val="20"/>
          <w:lang w:val="es-DO" w:eastAsia="es-DO"/>
        </w:rPr>
        <w:br/>
        <w:t xml:space="preserve">Dirigidas al Consejo Nacional de la Seguridad Social (CNSS), por un monto total de </w:t>
      </w:r>
      <w:r w:rsidRPr="005F4E56">
        <w:rPr>
          <w:rFonts w:ascii="Abadi" w:eastAsia="Times New Roman" w:hAnsi="Abadi" w:cs="Times New Roman"/>
          <w:b/>
          <w:bCs/>
          <w:sz w:val="20"/>
          <w:szCs w:val="20"/>
          <w:lang w:val="es-DO" w:eastAsia="es-DO"/>
        </w:rPr>
        <w:t>RD$1,000,000.00</w:t>
      </w:r>
      <w:r w:rsidRPr="005F4E56">
        <w:rPr>
          <w:rFonts w:ascii="Abadi" w:eastAsia="Times New Roman" w:hAnsi="Abadi" w:cs="Times New Roman"/>
          <w:sz w:val="20"/>
          <w:szCs w:val="20"/>
          <w:lang w:val="es-DO" w:eastAsia="es-DO"/>
        </w:rPr>
        <w:t>.</w:t>
      </w:r>
    </w:p>
    <w:p w14:paraId="2D538FFB" w14:textId="77777777" w:rsidR="005F4E56" w:rsidRPr="005F4E56" w:rsidRDefault="005F4E56" w:rsidP="005F4E56">
      <w:pPr>
        <w:numPr>
          <w:ilvl w:val="0"/>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b/>
          <w:bCs/>
          <w:sz w:val="20"/>
          <w:szCs w:val="20"/>
          <w:lang w:val="es-DO" w:eastAsia="es-DO"/>
        </w:rPr>
        <w:t>Becas Nacionales:</w:t>
      </w:r>
      <w:r w:rsidRPr="005F4E56">
        <w:rPr>
          <w:rFonts w:ascii="Abadi" w:eastAsia="Times New Roman" w:hAnsi="Abadi" w:cs="Times New Roman"/>
          <w:sz w:val="20"/>
          <w:szCs w:val="20"/>
          <w:lang w:val="es-DO" w:eastAsia="es-DO"/>
        </w:rPr>
        <w:br/>
        <w:t xml:space="preserve">A la Universidad APEC por </w:t>
      </w:r>
      <w:r w:rsidRPr="005F4E56">
        <w:rPr>
          <w:rFonts w:ascii="Abadi" w:eastAsia="Times New Roman" w:hAnsi="Abadi" w:cs="Times New Roman"/>
          <w:b/>
          <w:bCs/>
          <w:sz w:val="20"/>
          <w:szCs w:val="20"/>
          <w:lang w:val="es-DO" w:eastAsia="es-DO"/>
        </w:rPr>
        <w:t>RD$132,050.00</w:t>
      </w:r>
      <w:r w:rsidRPr="005F4E56">
        <w:rPr>
          <w:rFonts w:ascii="Abadi" w:eastAsia="Times New Roman" w:hAnsi="Abadi" w:cs="Times New Roman"/>
          <w:sz w:val="20"/>
          <w:szCs w:val="20"/>
          <w:lang w:val="es-DO" w:eastAsia="es-DO"/>
        </w:rPr>
        <w:t>.</w:t>
      </w:r>
    </w:p>
    <w:p w14:paraId="79C75EB5" w14:textId="77777777" w:rsidR="005F4E56" w:rsidRPr="005F4E56" w:rsidRDefault="005F4E56" w:rsidP="005F4E56">
      <w:pPr>
        <w:numPr>
          <w:ilvl w:val="0"/>
          <w:numId w:val="7"/>
        </w:numPr>
        <w:spacing w:before="100" w:beforeAutospacing="1" w:after="100" w:afterAutospacing="1" w:line="240" w:lineRule="auto"/>
        <w:rPr>
          <w:rFonts w:ascii="Abadi" w:eastAsia="Times New Roman" w:hAnsi="Abadi" w:cs="Times New Roman"/>
          <w:sz w:val="20"/>
          <w:szCs w:val="20"/>
          <w:lang w:val="es-DO" w:eastAsia="es-DO"/>
        </w:rPr>
      </w:pPr>
      <w:r w:rsidRPr="005F4E56">
        <w:rPr>
          <w:rFonts w:ascii="Abadi" w:eastAsia="Times New Roman" w:hAnsi="Abadi" w:cs="Times New Roman"/>
          <w:b/>
          <w:bCs/>
          <w:sz w:val="20"/>
          <w:szCs w:val="20"/>
          <w:lang w:val="es-DO" w:eastAsia="es-DO"/>
        </w:rPr>
        <w:t>Becas Internacionales:</w:t>
      </w:r>
      <w:r w:rsidRPr="005F4E56">
        <w:rPr>
          <w:rFonts w:ascii="Abadi" w:eastAsia="Times New Roman" w:hAnsi="Abadi" w:cs="Times New Roman"/>
          <w:sz w:val="20"/>
          <w:szCs w:val="20"/>
          <w:lang w:val="es-DO" w:eastAsia="es-DO"/>
        </w:rPr>
        <w:br/>
        <w:t xml:space="preserve">Correspondientes a compromisos académicos asumidos en el exterior, por un total de </w:t>
      </w:r>
      <w:r w:rsidRPr="005F4E56">
        <w:rPr>
          <w:rFonts w:ascii="Abadi" w:eastAsia="Times New Roman" w:hAnsi="Abadi" w:cs="Times New Roman"/>
          <w:b/>
          <w:bCs/>
          <w:sz w:val="20"/>
          <w:szCs w:val="20"/>
          <w:lang w:val="es-DO" w:eastAsia="es-DO"/>
        </w:rPr>
        <w:t>RD$483,446.11</w:t>
      </w:r>
      <w:r w:rsidRPr="005F4E56">
        <w:rPr>
          <w:rFonts w:ascii="Abadi" w:eastAsia="Times New Roman" w:hAnsi="Abadi" w:cs="Times New Roman"/>
          <w:sz w:val="20"/>
          <w:szCs w:val="20"/>
          <w:lang w:val="es-DO" w:eastAsia="es-DO"/>
        </w:rPr>
        <w:t>.</w:t>
      </w:r>
    </w:p>
    <w:p w14:paraId="484FCE77" w14:textId="77777777" w:rsidR="005F4E56" w:rsidRPr="005F4E56" w:rsidRDefault="005F4E56" w:rsidP="00C14B79">
      <w:pPr>
        <w:spacing w:line="240" w:lineRule="auto"/>
        <w:contextualSpacing/>
        <w:rPr>
          <w:rFonts w:ascii="Abadi" w:hAnsi="Abadi" w:cstheme="minorHAnsi"/>
          <w:b/>
          <w:sz w:val="20"/>
          <w:szCs w:val="20"/>
          <w:lang w:val="es-DO"/>
        </w:rPr>
      </w:pPr>
    </w:p>
    <w:p w14:paraId="3E3412F9" w14:textId="77777777" w:rsidR="00BB721B" w:rsidRPr="00C80F8E" w:rsidRDefault="00BB721B" w:rsidP="00A7606E">
      <w:pPr>
        <w:pStyle w:val="Prrafodelista"/>
        <w:numPr>
          <w:ilvl w:val="0"/>
          <w:numId w:val="1"/>
        </w:numPr>
        <w:spacing w:line="240" w:lineRule="auto"/>
        <w:ind w:left="283" w:hanging="357"/>
        <w:rPr>
          <w:rFonts w:ascii="Abadi" w:hAnsi="Abadi" w:cstheme="minorHAnsi"/>
          <w:b/>
          <w:sz w:val="20"/>
          <w:szCs w:val="20"/>
          <w:lang w:val="es-ES_tradnl"/>
        </w:rPr>
      </w:pPr>
      <w:r w:rsidRPr="00C80F8E">
        <w:rPr>
          <w:rFonts w:ascii="Abadi" w:hAnsi="Abadi" w:cstheme="minorHAnsi"/>
          <w:b/>
          <w:sz w:val="20"/>
          <w:szCs w:val="20"/>
          <w:lang w:val="es-ES_tradnl"/>
        </w:rPr>
        <w:t>Suministros y materiales para consumo</w:t>
      </w:r>
    </w:p>
    <w:p w14:paraId="6EC8C0CE" w14:textId="25E2E962" w:rsidR="00BB721B" w:rsidRPr="00C80F8E" w:rsidRDefault="00CF2D82" w:rsidP="00A73719">
      <w:pPr>
        <w:spacing w:line="360" w:lineRule="auto"/>
        <w:jc w:val="both"/>
        <w:rPr>
          <w:rStyle w:val="CarCar"/>
          <w:rFonts w:ascii="Abadi" w:hAnsi="Abadi" w:cstheme="minorHAnsi"/>
          <w:bCs w:val="0"/>
          <w:iCs/>
          <w:sz w:val="20"/>
          <w:szCs w:val="20"/>
          <w:lang w:val="es-ES_tradnl"/>
        </w:rPr>
      </w:pPr>
      <w:r w:rsidRPr="00C80F8E">
        <w:rPr>
          <w:rFonts w:ascii="Abadi" w:hAnsi="Abadi" w:cstheme="minorHAnsi"/>
          <w:bCs/>
          <w:sz w:val="20"/>
          <w:szCs w:val="20"/>
          <w:lang w:val="es-ES_tradnl"/>
        </w:rPr>
        <w:t>Al 30 de junio de 2025, el total ejecutado en la adquisición de materiales, suministros y combustibles ascendió a RD$7,510,357.63, frente a RD$6,052,203.61 registrados al 30 de junio de 2024. Esta diferencia representa un incremento absoluto de RD$1,458,154.02 y una variación relativa positiva de 24.09%.</w:t>
      </w:r>
      <w:r w:rsidR="0074298E" w:rsidRPr="00C80F8E">
        <w:rPr>
          <w:rStyle w:val="CarCar"/>
          <w:rFonts w:ascii="Abadi" w:hAnsi="Abadi" w:cstheme="minorHAnsi"/>
          <w:bCs w:val="0"/>
          <w:iCs/>
          <w:sz w:val="20"/>
          <w:szCs w:val="20"/>
          <w:lang w:val="es-ES_tradnl"/>
        </w:rPr>
        <w:t>:</w:t>
      </w:r>
    </w:p>
    <w:tbl>
      <w:tblPr>
        <w:tblStyle w:val="Tablaconcuadrcula"/>
        <w:tblW w:w="0" w:type="auto"/>
        <w:tblInd w:w="66" w:type="dxa"/>
        <w:tblLook w:val="04A0" w:firstRow="1" w:lastRow="0" w:firstColumn="1" w:lastColumn="0" w:noHBand="0" w:noVBand="1"/>
      </w:tblPr>
      <w:tblGrid>
        <w:gridCol w:w="4891"/>
        <w:gridCol w:w="2268"/>
        <w:gridCol w:w="2125"/>
      </w:tblGrid>
      <w:tr w:rsidR="004F535B" w:rsidRPr="004F535B" w14:paraId="0EF06DDC" w14:textId="77777777" w:rsidTr="004F535B">
        <w:tc>
          <w:tcPr>
            <w:tcW w:w="4891" w:type="dxa"/>
            <w:tcBorders>
              <w:bottom w:val="single" w:sz="4" w:space="0" w:color="auto"/>
            </w:tcBorders>
            <w:shd w:val="clear" w:color="auto" w:fill="0070C0"/>
            <w:vAlign w:val="bottom"/>
          </w:tcPr>
          <w:p w14:paraId="6C3F0BA1" w14:textId="77777777" w:rsidR="004F535B" w:rsidRPr="004F535B" w:rsidRDefault="004F535B" w:rsidP="004F535B">
            <w:pPr>
              <w:spacing w:after="160" w:line="360" w:lineRule="auto"/>
              <w:jc w:val="center"/>
              <w:rPr>
                <w:rFonts w:ascii="Abadi" w:hAnsi="Abadi" w:cstheme="minorHAnsi"/>
                <w:b/>
                <w:bCs/>
                <w:iCs/>
                <w:color w:val="FFFFFF" w:themeColor="background1"/>
                <w:sz w:val="20"/>
                <w:szCs w:val="20"/>
                <w:lang w:val="es-ES_tradnl" w:eastAsia="es-ES"/>
              </w:rPr>
            </w:pPr>
            <w:r w:rsidRPr="004F535B">
              <w:rPr>
                <w:rFonts w:ascii="Abadi" w:hAnsi="Abadi" w:cstheme="minorHAnsi"/>
                <w:b/>
                <w:bCs/>
                <w:iCs/>
                <w:color w:val="FFFFFF" w:themeColor="background1"/>
                <w:sz w:val="20"/>
                <w:szCs w:val="20"/>
                <w:lang w:val="es-ES_tradnl" w:eastAsia="es-ES"/>
              </w:rPr>
              <w:t>Descripción</w:t>
            </w:r>
          </w:p>
        </w:tc>
        <w:tc>
          <w:tcPr>
            <w:tcW w:w="2268" w:type="dxa"/>
            <w:tcBorders>
              <w:bottom w:val="single" w:sz="4" w:space="0" w:color="auto"/>
            </w:tcBorders>
            <w:shd w:val="clear" w:color="auto" w:fill="0070C0"/>
            <w:vAlign w:val="bottom"/>
          </w:tcPr>
          <w:p w14:paraId="49AE0012" w14:textId="77777777" w:rsidR="004F535B" w:rsidRPr="004F535B" w:rsidRDefault="004F535B" w:rsidP="004F535B">
            <w:pPr>
              <w:spacing w:after="160" w:line="360" w:lineRule="auto"/>
              <w:jc w:val="center"/>
              <w:rPr>
                <w:rFonts w:ascii="Abadi" w:hAnsi="Abadi" w:cstheme="minorHAnsi"/>
                <w:b/>
                <w:bCs/>
                <w:iCs/>
                <w:color w:val="FFFFFF" w:themeColor="background1"/>
                <w:sz w:val="20"/>
                <w:szCs w:val="20"/>
                <w:lang w:val="es-ES_tradnl" w:eastAsia="es-ES"/>
              </w:rPr>
            </w:pPr>
            <w:r w:rsidRPr="004F535B">
              <w:rPr>
                <w:rFonts w:ascii="Abadi" w:hAnsi="Abadi" w:cstheme="minorHAnsi"/>
                <w:b/>
                <w:bCs/>
                <w:iCs/>
                <w:color w:val="FFFFFF" w:themeColor="background1"/>
                <w:sz w:val="20"/>
                <w:szCs w:val="20"/>
                <w:lang w:val="es-ES_tradnl" w:eastAsia="es-ES"/>
              </w:rPr>
              <w:t>2025</w:t>
            </w:r>
          </w:p>
        </w:tc>
        <w:tc>
          <w:tcPr>
            <w:tcW w:w="2125" w:type="dxa"/>
            <w:shd w:val="clear" w:color="auto" w:fill="0070C0"/>
            <w:vAlign w:val="bottom"/>
          </w:tcPr>
          <w:p w14:paraId="334591A0" w14:textId="77777777" w:rsidR="004F535B" w:rsidRPr="004F535B" w:rsidRDefault="004F535B" w:rsidP="004F535B">
            <w:pPr>
              <w:spacing w:after="160" w:line="360" w:lineRule="auto"/>
              <w:jc w:val="center"/>
              <w:rPr>
                <w:rFonts w:ascii="Abadi" w:hAnsi="Abadi" w:cstheme="minorHAnsi"/>
                <w:b/>
                <w:bCs/>
                <w:iCs/>
                <w:color w:val="FFFFFF" w:themeColor="background1"/>
                <w:sz w:val="20"/>
                <w:szCs w:val="20"/>
                <w:lang w:val="es-ES_tradnl" w:eastAsia="es-ES"/>
              </w:rPr>
            </w:pPr>
            <w:r w:rsidRPr="004F535B">
              <w:rPr>
                <w:rFonts w:ascii="Abadi" w:hAnsi="Abadi" w:cstheme="minorHAnsi"/>
                <w:b/>
                <w:bCs/>
                <w:iCs/>
                <w:color w:val="FFFFFF" w:themeColor="background1"/>
                <w:sz w:val="20"/>
                <w:szCs w:val="20"/>
                <w:lang w:val="es-ES_tradnl" w:eastAsia="es-ES"/>
              </w:rPr>
              <w:t>2024</w:t>
            </w:r>
          </w:p>
        </w:tc>
      </w:tr>
      <w:tr w:rsidR="009B48F9" w:rsidRPr="004F535B" w14:paraId="3EBA7242" w14:textId="77777777" w:rsidTr="005554E7">
        <w:tc>
          <w:tcPr>
            <w:tcW w:w="4891" w:type="dxa"/>
            <w:tcBorders>
              <w:top w:val="single" w:sz="4" w:space="0" w:color="auto"/>
              <w:left w:val="single" w:sz="4" w:space="0" w:color="auto"/>
              <w:bottom w:val="single" w:sz="4" w:space="0" w:color="auto"/>
              <w:right w:val="single" w:sz="4" w:space="0" w:color="auto"/>
            </w:tcBorders>
          </w:tcPr>
          <w:p w14:paraId="38B35662" w14:textId="241AFC1D"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1 Alimentos y productos agroforestales consumidos </w:t>
            </w:r>
          </w:p>
        </w:tc>
        <w:tc>
          <w:tcPr>
            <w:tcW w:w="2268" w:type="dxa"/>
            <w:tcBorders>
              <w:top w:val="single" w:sz="4" w:space="0" w:color="auto"/>
              <w:left w:val="single" w:sz="4" w:space="0" w:color="auto"/>
              <w:bottom w:val="single" w:sz="4" w:space="0" w:color="auto"/>
              <w:right w:val="nil"/>
            </w:tcBorders>
          </w:tcPr>
          <w:p w14:paraId="5305AFB0" w14:textId="73EF61E4"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1,278,199.70 </w:t>
            </w:r>
          </w:p>
        </w:tc>
        <w:tc>
          <w:tcPr>
            <w:tcW w:w="2125" w:type="dxa"/>
          </w:tcPr>
          <w:p w14:paraId="1C31D4B9" w14:textId="79E03351"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424,955.01 </w:t>
            </w:r>
          </w:p>
        </w:tc>
      </w:tr>
      <w:tr w:rsidR="009B48F9" w:rsidRPr="004F535B" w14:paraId="3A726152" w14:textId="77777777" w:rsidTr="005554E7">
        <w:tc>
          <w:tcPr>
            <w:tcW w:w="4891" w:type="dxa"/>
            <w:tcBorders>
              <w:top w:val="single" w:sz="4" w:space="0" w:color="auto"/>
              <w:left w:val="single" w:sz="4" w:space="0" w:color="auto"/>
              <w:bottom w:val="single" w:sz="4" w:space="0" w:color="auto"/>
              <w:right w:val="single" w:sz="4" w:space="0" w:color="auto"/>
            </w:tcBorders>
          </w:tcPr>
          <w:p w14:paraId="11BE1889" w14:textId="43E03EA1"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2 Textiles y vestuarios consumidos </w:t>
            </w:r>
          </w:p>
        </w:tc>
        <w:tc>
          <w:tcPr>
            <w:tcW w:w="2268" w:type="dxa"/>
            <w:tcBorders>
              <w:top w:val="single" w:sz="4" w:space="0" w:color="auto"/>
              <w:left w:val="single" w:sz="4" w:space="0" w:color="auto"/>
              <w:bottom w:val="single" w:sz="4" w:space="0" w:color="auto"/>
              <w:right w:val="nil"/>
            </w:tcBorders>
          </w:tcPr>
          <w:p w14:paraId="44BFE8FB" w14:textId="418B4AE2"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163,173.56 </w:t>
            </w:r>
          </w:p>
        </w:tc>
        <w:tc>
          <w:tcPr>
            <w:tcW w:w="2125" w:type="dxa"/>
          </w:tcPr>
          <w:p w14:paraId="1159BB48" w14:textId="291DA084"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324,729.34 </w:t>
            </w:r>
          </w:p>
        </w:tc>
      </w:tr>
      <w:tr w:rsidR="009B48F9" w:rsidRPr="004F535B" w14:paraId="0DD5243E" w14:textId="77777777" w:rsidTr="005554E7">
        <w:tc>
          <w:tcPr>
            <w:tcW w:w="4891" w:type="dxa"/>
            <w:tcBorders>
              <w:top w:val="single" w:sz="4" w:space="0" w:color="auto"/>
              <w:left w:val="single" w:sz="4" w:space="0" w:color="auto"/>
              <w:bottom w:val="single" w:sz="4" w:space="0" w:color="auto"/>
              <w:right w:val="single" w:sz="4" w:space="0" w:color="auto"/>
            </w:tcBorders>
          </w:tcPr>
          <w:p w14:paraId="510C480D" w14:textId="0F3E8AE8"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3 Productos de papel, cartón e impresos consumidos </w:t>
            </w:r>
          </w:p>
        </w:tc>
        <w:tc>
          <w:tcPr>
            <w:tcW w:w="2268" w:type="dxa"/>
            <w:tcBorders>
              <w:top w:val="single" w:sz="4" w:space="0" w:color="auto"/>
              <w:left w:val="single" w:sz="4" w:space="0" w:color="auto"/>
              <w:bottom w:val="single" w:sz="4" w:space="0" w:color="auto"/>
              <w:right w:val="nil"/>
            </w:tcBorders>
          </w:tcPr>
          <w:p w14:paraId="5F34FC94" w14:textId="17C49F0A"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828,037.77 </w:t>
            </w:r>
          </w:p>
        </w:tc>
        <w:tc>
          <w:tcPr>
            <w:tcW w:w="2125" w:type="dxa"/>
          </w:tcPr>
          <w:p w14:paraId="0ECA9C26" w14:textId="70A3A59E"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573,203.29 </w:t>
            </w:r>
          </w:p>
        </w:tc>
      </w:tr>
      <w:tr w:rsidR="009B48F9" w:rsidRPr="004F535B" w14:paraId="3F303AD6" w14:textId="77777777" w:rsidTr="005554E7">
        <w:tc>
          <w:tcPr>
            <w:tcW w:w="4891" w:type="dxa"/>
            <w:tcBorders>
              <w:top w:val="single" w:sz="4" w:space="0" w:color="auto"/>
              <w:left w:val="single" w:sz="4" w:space="0" w:color="auto"/>
              <w:bottom w:val="single" w:sz="4" w:space="0" w:color="auto"/>
              <w:right w:val="single" w:sz="4" w:space="0" w:color="auto"/>
            </w:tcBorders>
          </w:tcPr>
          <w:p w14:paraId="44DC081C" w14:textId="2275C8FC"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4 Materiales y útiles médicos consumidos </w:t>
            </w:r>
          </w:p>
        </w:tc>
        <w:tc>
          <w:tcPr>
            <w:tcW w:w="2268" w:type="dxa"/>
            <w:tcBorders>
              <w:top w:val="single" w:sz="4" w:space="0" w:color="auto"/>
              <w:left w:val="single" w:sz="4" w:space="0" w:color="auto"/>
              <w:bottom w:val="single" w:sz="4" w:space="0" w:color="auto"/>
              <w:right w:val="nil"/>
            </w:tcBorders>
          </w:tcPr>
          <w:p w14:paraId="482FECBE" w14:textId="6D15FB6D"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17,563.20 </w:t>
            </w:r>
          </w:p>
        </w:tc>
        <w:tc>
          <w:tcPr>
            <w:tcW w:w="2125" w:type="dxa"/>
          </w:tcPr>
          <w:p w14:paraId="719A154E" w14:textId="51158B0B"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3,444.84 </w:t>
            </w:r>
          </w:p>
        </w:tc>
      </w:tr>
      <w:tr w:rsidR="009B48F9" w:rsidRPr="004F535B" w14:paraId="35767D8F" w14:textId="77777777" w:rsidTr="005554E7">
        <w:tc>
          <w:tcPr>
            <w:tcW w:w="4891" w:type="dxa"/>
            <w:tcBorders>
              <w:top w:val="single" w:sz="4" w:space="0" w:color="auto"/>
              <w:left w:val="single" w:sz="4" w:space="0" w:color="auto"/>
              <w:bottom w:val="single" w:sz="4" w:space="0" w:color="auto"/>
              <w:right w:val="single" w:sz="4" w:space="0" w:color="auto"/>
            </w:tcBorders>
          </w:tcPr>
          <w:p w14:paraId="384DF3FE" w14:textId="386AD59B"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lastRenderedPageBreak/>
              <w:t xml:space="preserve">5 Productos de cuero, caucho y plástico consumidos </w:t>
            </w:r>
          </w:p>
        </w:tc>
        <w:tc>
          <w:tcPr>
            <w:tcW w:w="2268" w:type="dxa"/>
            <w:tcBorders>
              <w:top w:val="single" w:sz="4" w:space="0" w:color="auto"/>
              <w:left w:val="single" w:sz="4" w:space="0" w:color="auto"/>
              <w:bottom w:val="single" w:sz="4" w:space="0" w:color="auto"/>
              <w:right w:val="nil"/>
            </w:tcBorders>
          </w:tcPr>
          <w:p w14:paraId="21961F5B" w14:textId="7F5B78A8"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4,838.00 </w:t>
            </w:r>
          </w:p>
        </w:tc>
        <w:tc>
          <w:tcPr>
            <w:tcW w:w="2125" w:type="dxa"/>
          </w:tcPr>
          <w:p w14:paraId="173DB5DC" w14:textId="42840D85"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23,077.99 </w:t>
            </w:r>
          </w:p>
        </w:tc>
      </w:tr>
      <w:tr w:rsidR="009B48F9" w:rsidRPr="004F535B" w14:paraId="29407F79" w14:textId="77777777" w:rsidTr="005554E7">
        <w:tc>
          <w:tcPr>
            <w:tcW w:w="4891" w:type="dxa"/>
            <w:tcBorders>
              <w:top w:val="single" w:sz="4" w:space="0" w:color="auto"/>
              <w:left w:val="single" w:sz="4" w:space="0" w:color="auto"/>
              <w:bottom w:val="single" w:sz="4" w:space="0" w:color="auto"/>
              <w:right w:val="single" w:sz="4" w:space="0" w:color="auto"/>
            </w:tcBorders>
          </w:tcPr>
          <w:p w14:paraId="1DBB991D" w14:textId="6892C11D"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6 Productos de minerales metálicos y no metálicos consumidos </w:t>
            </w:r>
          </w:p>
        </w:tc>
        <w:tc>
          <w:tcPr>
            <w:tcW w:w="2268" w:type="dxa"/>
            <w:tcBorders>
              <w:top w:val="single" w:sz="4" w:space="0" w:color="auto"/>
              <w:left w:val="single" w:sz="4" w:space="0" w:color="auto"/>
              <w:bottom w:val="single" w:sz="4" w:space="0" w:color="auto"/>
              <w:right w:val="nil"/>
            </w:tcBorders>
          </w:tcPr>
          <w:p w14:paraId="40EDAFEC" w14:textId="7330D32B"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5,853.00 </w:t>
            </w:r>
          </w:p>
        </w:tc>
        <w:tc>
          <w:tcPr>
            <w:tcW w:w="2125" w:type="dxa"/>
          </w:tcPr>
          <w:p w14:paraId="7982C806" w14:textId="5F079011"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28,846.42 </w:t>
            </w:r>
          </w:p>
        </w:tc>
      </w:tr>
      <w:tr w:rsidR="009B48F9" w:rsidRPr="004F535B" w14:paraId="4D8A9046" w14:textId="77777777" w:rsidTr="005554E7">
        <w:tc>
          <w:tcPr>
            <w:tcW w:w="4891" w:type="dxa"/>
            <w:tcBorders>
              <w:top w:val="single" w:sz="4" w:space="0" w:color="auto"/>
              <w:left w:val="single" w:sz="4" w:space="0" w:color="auto"/>
              <w:bottom w:val="single" w:sz="4" w:space="0" w:color="auto"/>
              <w:right w:val="single" w:sz="4" w:space="0" w:color="auto"/>
            </w:tcBorders>
          </w:tcPr>
          <w:p w14:paraId="2A671103" w14:textId="719C5A9D"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7 Combustibles, lubricantes, productos químicos y conexos consumidos </w:t>
            </w:r>
          </w:p>
        </w:tc>
        <w:tc>
          <w:tcPr>
            <w:tcW w:w="2268" w:type="dxa"/>
            <w:tcBorders>
              <w:top w:val="single" w:sz="4" w:space="0" w:color="auto"/>
              <w:left w:val="single" w:sz="4" w:space="0" w:color="auto"/>
              <w:bottom w:val="single" w:sz="4" w:space="0" w:color="auto"/>
              <w:right w:val="nil"/>
            </w:tcBorders>
          </w:tcPr>
          <w:p w14:paraId="4F046194" w14:textId="3322087D"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4,096,448.11 </w:t>
            </w:r>
          </w:p>
        </w:tc>
        <w:tc>
          <w:tcPr>
            <w:tcW w:w="2125" w:type="dxa"/>
          </w:tcPr>
          <w:p w14:paraId="76203B29" w14:textId="402EB378"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3,604,665.97 </w:t>
            </w:r>
          </w:p>
        </w:tc>
      </w:tr>
      <w:tr w:rsidR="009B48F9" w:rsidRPr="004F535B" w14:paraId="45A25E4A" w14:textId="77777777" w:rsidTr="005554E7">
        <w:tc>
          <w:tcPr>
            <w:tcW w:w="4891" w:type="dxa"/>
            <w:tcBorders>
              <w:top w:val="single" w:sz="4" w:space="0" w:color="auto"/>
              <w:left w:val="single" w:sz="4" w:space="0" w:color="auto"/>
              <w:bottom w:val="single" w:sz="4" w:space="0" w:color="auto"/>
              <w:right w:val="single" w:sz="4" w:space="0" w:color="auto"/>
            </w:tcBorders>
          </w:tcPr>
          <w:p w14:paraId="57CDBB59" w14:textId="27441CD4"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9 Repuestos y accesorios para maquinaria y equipos consumidos </w:t>
            </w:r>
          </w:p>
        </w:tc>
        <w:tc>
          <w:tcPr>
            <w:tcW w:w="2268" w:type="dxa"/>
            <w:tcBorders>
              <w:top w:val="single" w:sz="4" w:space="0" w:color="auto"/>
              <w:left w:val="single" w:sz="4" w:space="0" w:color="auto"/>
              <w:bottom w:val="single" w:sz="4" w:space="0" w:color="auto"/>
              <w:right w:val="nil"/>
            </w:tcBorders>
          </w:tcPr>
          <w:p w14:paraId="0A993115" w14:textId="3BAC8498"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3,683.47 </w:t>
            </w:r>
          </w:p>
        </w:tc>
        <w:tc>
          <w:tcPr>
            <w:tcW w:w="2125" w:type="dxa"/>
          </w:tcPr>
          <w:p w14:paraId="31FCADC0" w14:textId="5AA7CD85"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6,420.00 </w:t>
            </w:r>
          </w:p>
        </w:tc>
      </w:tr>
      <w:tr w:rsidR="009B48F9" w:rsidRPr="004F535B" w14:paraId="485643F6" w14:textId="77777777" w:rsidTr="005554E7">
        <w:tc>
          <w:tcPr>
            <w:tcW w:w="4891" w:type="dxa"/>
            <w:tcBorders>
              <w:top w:val="single" w:sz="4" w:space="0" w:color="auto"/>
              <w:left w:val="single" w:sz="4" w:space="0" w:color="auto"/>
              <w:bottom w:val="single" w:sz="4" w:space="0" w:color="auto"/>
              <w:right w:val="single" w:sz="4" w:space="0" w:color="auto"/>
            </w:tcBorders>
          </w:tcPr>
          <w:p w14:paraId="010817ED" w14:textId="18E37D6B" w:rsidR="009B48F9" w:rsidRPr="004F535B" w:rsidRDefault="009B48F9" w:rsidP="009B48F9">
            <w:pPr>
              <w:spacing w:after="160" w:line="360" w:lineRule="auto"/>
              <w:jc w:val="both"/>
              <w:rPr>
                <w:rFonts w:ascii="Abadi" w:hAnsi="Abadi" w:cstheme="minorHAnsi"/>
                <w:b/>
                <w:bCs/>
                <w:iCs/>
                <w:sz w:val="20"/>
                <w:szCs w:val="20"/>
                <w:lang w:val="es-ES_tradnl" w:eastAsia="es-ES"/>
              </w:rPr>
            </w:pPr>
            <w:r w:rsidRPr="00762BA0">
              <w:rPr>
                <w:sz w:val="20"/>
                <w:szCs w:val="20"/>
                <w:lang w:val="es-ES_tradnl"/>
              </w:rPr>
              <w:t xml:space="preserve">10 Materiales y suministros varios consumidos </w:t>
            </w:r>
          </w:p>
        </w:tc>
        <w:tc>
          <w:tcPr>
            <w:tcW w:w="2268" w:type="dxa"/>
            <w:tcBorders>
              <w:top w:val="single" w:sz="4" w:space="0" w:color="auto"/>
              <w:left w:val="single" w:sz="4" w:space="0" w:color="auto"/>
              <w:bottom w:val="single" w:sz="4" w:space="0" w:color="auto"/>
              <w:right w:val="nil"/>
            </w:tcBorders>
          </w:tcPr>
          <w:p w14:paraId="2E8A86D0" w14:textId="6467853F"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1,112,560.82 </w:t>
            </w:r>
          </w:p>
        </w:tc>
        <w:tc>
          <w:tcPr>
            <w:tcW w:w="2125" w:type="dxa"/>
          </w:tcPr>
          <w:p w14:paraId="13629762" w14:textId="728459BB" w:rsidR="009B48F9" w:rsidRPr="004F535B" w:rsidRDefault="009B48F9" w:rsidP="009B48F9">
            <w:pPr>
              <w:spacing w:after="160" w:line="360" w:lineRule="auto"/>
              <w:jc w:val="right"/>
              <w:rPr>
                <w:rFonts w:ascii="Abadi" w:hAnsi="Abadi" w:cstheme="minorHAnsi"/>
                <w:bCs/>
                <w:iCs/>
                <w:sz w:val="20"/>
                <w:szCs w:val="20"/>
                <w:lang w:val="es-ES_tradnl" w:eastAsia="es-ES"/>
              </w:rPr>
            </w:pPr>
            <w:r w:rsidRPr="00762BA0">
              <w:rPr>
                <w:sz w:val="20"/>
                <w:szCs w:val="20"/>
                <w:lang w:val="es-ES_tradnl"/>
              </w:rPr>
              <w:t xml:space="preserve">1,062,860.75 </w:t>
            </w:r>
          </w:p>
        </w:tc>
      </w:tr>
      <w:tr w:rsidR="004F535B" w:rsidRPr="004F535B" w14:paraId="6E3C269D" w14:textId="77777777" w:rsidTr="005554E7">
        <w:tc>
          <w:tcPr>
            <w:tcW w:w="4891" w:type="dxa"/>
            <w:tcBorders>
              <w:top w:val="single" w:sz="4" w:space="0" w:color="auto"/>
            </w:tcBorders>
          </w:tcPr>
          <w:p w14:paraId="6563C9ED" w14:textId="77777777" w:rsidR="004F535B" w:rsidRPr="004F535B" w:rsidRDefault="004F535B" w:rsidP="00762BA0">
            <w:pPr>
              <w:spacing w:after="160" w:line="360" w:lineRule="auto"/>
              <w:jc w:val="right"/>
              <w:rPr>
                <w:rFonts w:ascii="Abadi" w:hAnsi="Abadi" w:cstheme="minorHAnsi"/>
                <w:bCs/>
                <w:iCs/>
                <w:sz w:val="20"/>
                <w:szCs w:val="20"/>
                <w:lang w:val="es-ES_tradnl" w:eastAsia="es-ES"/>
              </w:rPr>
            </w:pPr>
            <w:r w:rsidRPr="004F535B">
              <w:rPr>
                <w:rFonts w:ascii="Abadi" w:hAnsi="Abadi" w:cstheme="minorHAnsi"/>
                <w:bCs/>
                <w:iCs/>
                <w:sz w:val="20"/>
                <w:szCs w:val="20"/>
                <w:lang w:val="es-ES_tradnl" w:eastAsia="es-ES"/>
              </w:rPr>
              <w:t xml:space="preserve">Total </w:t>
            </w:r>
          </w:p>
        </w:tc>
        <w:tc>
          <w:tcPr>
            <w:tcW w:w="2268" w:type="dxa"/>
            <w:tcBorders>
              <w:top w:val="single" w:sz="12" w:space="0" w:color="auto"/>
              <w:bottom w:val="double" w:sz="4" w:space="0" w:color="auto"/>
            </w:tcBorders>
          </w:tcPr>
          <w:p w14:paraId="40466FC0" w14:textId="1C0D2B23" w:rsidR="004F535B" w:rsidRPr="004F535B" w:rsidRDefault="009B48F9" w:rsidP="004F535B">
            <w:pPr>
              <w:spacing w:after="160" w:line="360" w:lineRule="auto"/>
              <w:jc w:val="right"/>
              <w:rPr>
                <w:rFonts w:ascii="Abadi" w:hAnsi="Abadi" w:cstheme="minorHAnsi"/>
                <w:b/>
                <w:bCs/>
                <w:iCs/>
                <w:sz w:val="20"/>
                <w:szCs w:val="20"/>
                <w:lang w:val="es-ES_tradnl" w:eastAsia="es-ES"/>
              </w:rPr>
            </w:pPr>
            <w:r w:rsidRPr="00762BA0">
              <w:rPr>
                <w:rFonts w:ascii="Abadi" w:hAnsi="Abadi" w:cstheme="minorHAnsi"/>
                <w:b/>
                <w:bCs/>
                <w:iCs/>
                <w:sz w:val="20"/>
                <w:szCs w:val="20"/>
                <w:lang w:val="es-ES_tradnl" w:eastAsia="es-ES"/>
              </w:rPr>
              <w:t>7,510,357.63</w:t>
            </w:r>
          </w:p>
        </w:tc>
        <w:tc>
          <w:tcPr>
            <w:tcW w:w="2125" w:type="dxa"/>
            <w:tcBorders>
              <w:top w:val="single" w:sz="12" w:space="0" w:color="auto"/>
              <w:bottom w:val="double" w:sz="4" w:space="0" w:color="auto"/>
            </w:tcBorders>
          </w:tcPr>
          <w:p w14:paraId="6939ECBE" w14:textId="64CC1584" w:rsidR="004F535B" w:rsidRPr="004F535B" w:rsidRDefault="00C80F8E" w:rsidP="004F535B">
            <w:pPr>
              <w:spacing w:after="160" w:line="360" w:lineRule="auto"/>
              <w:jc w:val="right"/>
              <w:rPr>
                <w:rFonts w:ascii="Abadi" w:hAnsi="Abadi" w:cstheme="minorHAnsi"/>
                <w:b/>
                <w:bCs/>
                <w:iCs/>
                <w:sz w:val="20"/>
                <w:szCs w:val="20"/>
                <w:lang w:val="es-ES_tradnl" w:eastAsia="es-ES"/>
              </w:rPr>
            </w:pPr>
            <w:r w:rsidRPr="00762BA0">
              <w:rPr>
                <w:rFonts w:ascii="Abadi" w:hAnsi="Abadi" w:cstheme="minorHAnsi"/>
                <w:b/>
                <w:bCs/>
                <w:iCs/>
                <w:sz w:val="20"/>
                <w:szCs w:val="20"/>
                <w:lang w:val="es-ES_tradnl" w:eastAsia="es-ES"/>
              </w:rPr>
              <w:t>6,052,203.61</w:t>
            </w:r>
          </w:p>
        </w:tc>
      </w:tr>
    </w:tbl>
    <w:p w14:paraId="583381D3" w14:textId="77777777" w:rsidR="00536297" w:rsidRPr="00C80F8E" w:rsidRDefault="00536297" w:rsidP="00A73719">
      <w:pPr>
        <w:spacing w:line="360" w:lineRule="auto"/>
        <w:jc w:val="both"/>
        <w:rPr>
          <w:rFonts w:ascii="Abadi" w:hAnsi="Abadi" w:cstheme="minorHAnsi"/>
          <w:bCs/>
          <w:iCs/>
          <w:sz w:val="20"/>
          <w:szCs w:val="20"/>
          <w:lang w:val="es-ES_tradnl" w:eastAsia="es-ES"/>
        </w:rPr>
      </w:pPr>
    </w:p>
    <w:p w14:paraId="1A6D15F0" w14:textId="77777777" w:rsidR="004F535B" w:rsidRPr="00C80F8E" w:rsidRDefault="004F535B" w:rsidP="00A73719">
      <w:pPr>
        <w:spacing w:line="360" w:lineRule="auto"/>
        <w:jc w:val="both"/>
        <w:rPr>
          <w:rFonts w:ascii="Abadi" w:hAnsi="Abadi" w:cstheme="minorHAnsi"/>
          <w:bCs/>
          <w:iCs/>
          <w:sz w:val="20"/>
          <w:szCs w:val="20"/>
          <w:lang w:val="es-ES_tradnl" w:eastAsia="es-ES"/>
        </w:rPr>
      </w:pPr>
    </w:p>
    <w:tbl>
      <w:tblPr>
        <w:tblStyle w:val="Tablaconcuadrcula"/>
        <w:tblW w:w="0" w:type="auto"/>
        <w:tblInd w:w="66" w:type="dxa"/>
        <w:tblLook w:val="04A0" w:firstRow="1" w:lastRow="0" w:firstColumn="1" w:lastColumn="0" w:noHBand="0" w:noVBand="1"/>
      </w:tblPr>
      <w:tblGrid>
        <w:gridCol w:w="4891"/>
        <w:gridCol w:w="2268"/>
        <w:gridCol w:w="2125"/>
      </w:tblGrid>
      <w:tr w:rsidR="00BB721B" w:rsidRPr="00C80F8E" w14:paraId="636CFD41" w14:textId="77777777" w:rsidTr="006C2D82">
        <w:tc>
          <w:tcPr>
            <w:tcW w:w="4891" w:type="dxa"/>
            <w:tcBorders>
              <w:bottom w:val="single" w:sz="4" w:space="0" w:color="auto"/>
            </w:tcBorders>
            <w:shd w:val="clear" w:color="auto" w:fill="0070C0"/>
          </w:tcPr>
          <w:p w14:paraId="2699A3B0" w14:textId="77777777" w:rsidR="00BB721B" w:rsidRPr="00C80F8E" w:rsidRDefault="00BB721B"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tcBorders>
              <w:bottom w:val="single" w:sz="4" w:space="0" w:color="auto"/>
            </w:tcBorders>
            <w:shd w:val="clear" w:color="auto" w:fill="0070C0"/>
          </w:tcPr>
          <w:p w14:paraId="6F294C5C" w14:textId="3BA38475" w:rsidR="00BB721B"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266B0F" w:rsidRPr="00C80F8E">
              <w:rPr>
                <w:rFonts w:ascii="Abadi" w:hAnsi="Abadi" w:cstheme="minorHAnsi"/>
                <w:b/>
                <w:bCs/>
                <w:color w:val="FFFFFF" w:themeColor="background1"/>
                <w:sz w:val="20"/>
                <w:szCs w:val="20"/>
                <w:lang w:val="es-ES_tradnl"/>
              </w:rPr>
              <w:t>5</w:t>
            </w:r>
          </w:p>
        </w:tc>
        <w:tc>
          <w:tcPr>
            <w:tcW w:w="2125" w:type="dxa"/>
            <w:tcBorders>
              <w:bottom w:val="single" w:sz="4" w:space="0" w:color="auto"/>
            </w:tcBorders>
            <w:shd w:val="clear" w:color="auto" w:fill="0070C0"/>
          </w:tcPr>
          <w:p w14:paraId="1E6352D2" w14:textId="7D475981" w:rsidR="00BB721B" w:rsidRPr="00C80F8E" w:rsidRDefault="004567A7" w:rsidP="002918B7">
            <w:pPr>
              <w:tabs>
                <w:tab w:val="left" w:pos="696"/>
                <w:tab w:val="center" w:pos="954"/>
              </w:tabs>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266B0F" w:rsidRPr="00C80F8E">
              <w:rPr>
                <w:rFonts w:ascii="Abadi" w:hAnsi="Abadi" w:cstheme="minorHAnsi"/>
                <w:b/>
                <w:bCs/>
                <w:color w:val="FFFFFF" w:themeColor="background1"/>
                <w:sz w:val="20"/>
                <w:szCs w:val="20"/>
                <w:lang w:val="es-ES_tradnl"/>
              </w:rPr>
              <w:t>4</w:t>
            </w:r>
          </w:p>
        </w:tc>
      </w:tr>
      <w:tr w:rsidR="00A94151" w:rsidRPr="00C80F8E" w14:paraId="19D89AFC" w14:textId="77777777" w:rsidTr="00B8209E">
        <w:tc>
          <w:tcPr>
            <w:tcW w:w="4891" w:type="dxa"/>
            <w:tcBorders>
              <w:top w:val="single" w:sz="4" w:space="0" w:color="auto"/>
              <w:left w:val="single" w:sz="4" w:space="0" w:color="auto"/>
              <w:bottom w:val="single" w:sz="4" w:space="0" w:color="auto"/>
              <w:right w:val="single" w:sz="4" w:space="0" w:color="auto"/>
            </w:tcBorders>
          </w:tcPr>
          <w:p w14:paraId="57552759" w14:textId="1A079C86"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Alimentos y Bebidas para Personas</w:t>
            </w:r>
          </w:p>
        </w:tc>
        <w:tc>
          <w:tcPr>
            <w:tcW w:w="2268" w:type="dxa"/>
            <w:tcBorders>
              <w:top w:val="single" w:sz="4" w:space="0" w:color="auto"/>
              <w:left w:val="single" w:sz="4" w:space="0" w:color="auto"/>
              <w:bottom w:val="single" w:sz="4" w:space="0" w:color="auto"/>
              <w:right w:val="single" w:sz="4" w:space="0" w:color="auto"/>
            </w:tcBorders>
          </w:tcPr>
          <w:p w14:paraId="78D361B0" w14:textId="71D861C9" w:rsidR="00E53CCB" w:rsidRPr="00C80F8E" w:rsidRDefault="00843582" w:rsidP="00E53CCB">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w:t>
            </w:r>
            <w:r w:rsidR="00E53CCB" w:rsidRPr="00C80F8E">
              <w:rPr>
                <w:rFonts w:ascii="Abadi" w:hAnsi="Abadi" w:cstheme="minorHAnsi"/>
                <w:sz w:val="20"/>
                <w:szCs w:val="20"/>
                <w:lang w:val="es-ES_tradnl"/>
              </w:rPr>
              <w:t>,</w:t>
            </w:r>
            <w:r w:rsidRPr="00C80F8E">
              <w:rPr>
                <w:rFonts w:ascii="Abadi" w:hAnsi="Abadi" w:cstheme="minorHAnsi"/>
                <w:sz w:val="20"/>
                <w:szCs w:val="20"/>
                <w:lang w:val="es-ES_tradnl"/>
              </w:rPr>
              <w:t>139</w:t>
            </w:r>
            <w:r w:rsidR="00E53CCB" w:rsidRPr="00C80F8E">
              <w:rPr>
                <w:rFonts w:ascii="Abadi" w:hAnsi="Abadi" w:cstheme="minorHAnsi"/>
                <w:sz w:val="20"/>
                <w:szCs w:val="20"/>
                <w:lang w:val="es-ES_tradnl"/>
              </w:rPr>
              <w:t>,703.10</w:t>
            </w:r>
          </w:p>
        </w:tc>
        <w:tc>
          <w:tcPr>
            <w:tcW w:w="2125" w:type="dxa"/>
            <w:tcBorders>
              <w:top w:val="single" w:sz="4" w:space="0" w:color="auto"/>
              <w:left w:val="single" w:sz="4" w:space="0" w:color="auto"/>
              <w:bottom w:val="single" w:sz="4" w:space="0" w:color="auto"/>
              <w:right w:val="single" w:sz="4" w:space="0" w:color="auto"/>
            </w:tcBorders>
          </w:tcPr>
          <w:p w14:paraId="60578D67" w14:textId="6AA579EE" w:rsidR="00A94151" w:rsidRPr="00C80F8E" w:rsidRDefault="001D3867"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385,413.42</w:t>
            </w:r>
          </w:p>
        </w:tc>
      </w:tr>
      <w:tr w:rsidR="00A94151" w:rsidRPr="00C80F8E" w14:paraId="00796A44" w14:textId="77777777" w:rsidTr="00B8209E">
        <w:tc>
          <w:tcPr>
            <w:tcW w:w="4891" w:type="dxa"/>
            <w:tcBorders>
              <w:top w:val="single" w:sz="4" w:space="0" w:color="auto"/>
              <w:left w:val="single" w:sz="4" w:space="0" w:color="auto"/>
              <w:bottom w:val="single" w:sz="4" w:space="0" w:color="auto"/>
              <w:right w:val="single" w:sz="4" w:space="0" w:color="auto"/>
            </w:tcBorders>
          </w:tcPr>
          <w:p w14:paraId="00107D23" w14:textId="02C923D3"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Productos Forestales</w:t>
            </w:r>
          </w:p>
        </w:tc>
        <w:tc>
          <w:tcPr>
            <w:tcW w:w="2268" w:type="dxa"/>
            <w:tcBorders>
              <w:top w:val="single" w:sz="4" w:space="0" w:color="auto"/>
              <w:left w:val="single" w:sz="4" w:space="0" w:color="auto"/>
              <w:bottom w:val="single" w:sz="4" w:space="0" w:color="auto"/>
              <w:right w:val="single" w:sz="4" w:space="0" w:color="auto"/>
            </w:tcBorders>
          </w:tcPr>
          <w:p w14:paraId="139D6AC7" w14:textId="152C4DD7" w:rsidR="00A94151" w:rsidRPr="00C80F8E" w:rsidRDefault="00E53CCB"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138,496.60</w:t>
            </w:r>
          </w:p>
        </w:tc>
        <w:tc>
          <w:tcPr>
            <w:tcW w:w="2125" w:type="dxa"/>
            <w:tcBorders>
              <w:top w:val="single" w:sz="4" w:space="0" w:color="auto"/>
              <w:left w:val="single" w:sz="4" w:space="0" w:color="auto"/>
              <w:bottom w:val="single" w:sz="4" w:space="0" w:color="auto"/>
              <w:right w:val="single" w:sz="4" w:space="0" w:color="auto"/>
            </w:tcBorders>
          </w:tcPr>
          <w:p w14:paraId="19161D94" w14:textId="1DCEDD1B" w:rsidR="00A94151" w:rsidRPr="00C80F8E" w:rsidRDefault="001D3867"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39,541.59</w:t>
            </w:r>
          </w:p>
        </w:tc>
      </w:tr>
      <w:tr w:rsidR="00A94151" w:rsidRPr="00C80F8E" w14:paraId="63552B7A" w14:textId="77777777" w:rsidTr="00665C91">
        <w:trPr>
          <w:trHeight w:val="238"/>
        </w:trPr>
        <w:tc>
          <w:tcPr>
            <w:tcW w:w="4891" w:type="dxa"/>
            <w:tcBorders>
              <w:top w:val="single" w:sz="4" w:space="0" w:color="auto"/>
              <w:left w:val="single" w:sz="4" w:space="0" w:color="auto"/>
              <w:bottom w:val="single" w:sz="4" w:space="0" w:color="auto"/>
              <w:right w:val="single" w:sz="4" w:space="0" w:color="auto"/>
            </w:tcBorders>
          </w:tcPr>
          <w:p w14:paraId="20464D6D" w14:textId="7F3AF8B6" w:rsidR="00A94151" w:rsidRPr="00C80F8E" w:rsidRDefault="00E33411" w:rsidP="00A94151">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 xml:space="preserve">Madera, Corchos </w:t>
            </w:r>
            <w:r w:rsidR="003868BD" w:rsidRPr="00C80F8E">
              <w:rPr>
                <w:rFonts w:ascii="Abadi" w:hAnsi="Abadi" w:cstheme="minorHAnsi"/>
                <w:color w:val="000000"/>
                <w:sz w:val="20"/>
                <w:szCs w:val="20"/>
                <w:lang w:val="es-ES_tradnl"/>
              </w:rPr>
              <w:t>y Manufacturas</w:t>
            </w:r>
          </w:p>
        </w:tc>
        <w:tc>
          <w:tcPr>
            <w:tcW w:w="2268" w:type="dxa"/>
            <w:tcBorders>
              <w:top w:val="single" w:sz="4" w:space="0" w:color="auto"/>
              <w:left w:val="single" w:sz="4" w:space="0" w:color="auto"/>
              <w:bottom w:val="single" w:sz="4" w:space="0" w:color="auto"/>
              <w:right w:val="single" w:sz="4" w:space="0" w:color="auto"/>
            </w:tcBorders>
          </w:tcPr>
          <w:p w14:paraId="441502F9" w14:textId="18794B89" w:rsidR="00A94151" w:rsidRPr="00C80F8E" w:rsidRDefault="003868BD"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4,125.00</w:t>
            </w:r>
          </w:p>
        </w:tc>
        <w:tc>
          <w:tcPr>
            <w:tcW w:w="2125" w:type="dxa"/>
            <w:tcBorders>
              <w:top w:val="single" w:sz="4" w:space="0" w:color="auto"/>
              <w:left w:val="single" w:sz="4" w:space="0" w:color="auto"/>
              <w:bottom w:val="single" w:sz="4" w:space="0" w:color="auto"/>
              <w:right w:val="single" w:sz="4" w:space="0" w:color="auto"/>
            </w:tcBorders>
          </w:tcPr>
          <w:p w14:paraId="751FE305" w14:textId="27ADB532" w:rsidR="00A94151" w:rsidRPr="00C80F8E" w:rsidRDefault="007B311C" w:rsidP="00A94151">
            <w:pPr>
              <w:tabs>
                <w:tab w:val="left" w:pos="696"/>
                <w:tab w:val="center" w:pos="954"/>
              </w:tabs>
              <w:jc w:val="right"/>
              <w:rPr>
                <w:rFonts w:ascii="Abadi" w:hAnsi="Abadi" w:cstheme="minorHAnsi"/>
                <w:color w:val="000000"/>
                <w:sz w:val="20"/>
                <w:szCs w:val="20"/>
                <w:lang w:val="es-ES_tradnl"/>
              </w:rPr>
            </w:pPr>
            <w:r w:rsidRPr="00C80F8E">
              <w:rPr>
                <w:rFonts w:ascii="Abadi" w:hAnsi="Abadi" w:cstheme="minorHAnsi"/>
                <w:color w:val="000000"/>
                <w:sz w:val="20"/>
                <w:szCs w:val="20"/>
                <w:lang w:val="es-ES_tradnl"/>
              </w:rPr>
              <w:t>0.00</w:t>
            </w:r>
          </w:p>
        </w:tc>
      </w:tr>
      <w:tr w:rsidR="00A94151" w:rsidRPr="00C80F8E" w14:paraId="10490AC1" w14:textId="77777777" w:rsidTr="00B8209E">
        <w:tc>
          <w:tcPr>
            <w:tcW w:w="4891" w:type="dxa"/>
            <w:tcBorders>
              <w:top w:val="single" w:sz="4" w:space="0" w:color="auto"/>
              <w:left w:val="single" w:sz="4" w:space="0" w:color="auto"/>
              <w:bottom w:val="single" w:sz="4" w:space="0" w:color="auto"/>
              <w:right w:val="single" w:sz="4" w:space="0" w:color="auto"/>
            </w:tcBorders>
          </w:tcPr>
          <w:p w14:paraId="7E88F92A" w14:textId="7970120B"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Acabados Textiles</w:t>
            </w:r>
          </w:p>
        </w:tc>
        <w:tc>
          <w:tcPr>
            <w:tcW w:w="2268" w:type="dxa"/>
            <w:tcBorders>
              <w:top w:val="single" w:sz="4" w:space="0" w:color="auto"/>
              <w:left w:val="single" w:sz="4" w:space="0" w:color="auto"/>
              <w:bottom w:val="single" w:sz="4" w:space="0" w:color="auto"/>
              <w:right w:val="single" w:sz="4" w:space="0" w:color="auto"/>
            </w:tcBorders>
          </w:tcPr>
          <w:p w14:paraId="67CBC22E" w14:textId="20324C04" w:rsidR="00A94151" w:rsidRPr="00C80F8E" w:rsidRDefault="00242F64"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34,074.76</w:t>
            </w:r>
          </w:p>
        </w:tc>
        <w:tc>
          <w:tcPr>
            <w:tcW w:w="2125" w:type="dxa"/>
            <w:tcBorders>
              <w:top w:val="single" w:sz="4" w:space="0" w:color="auto"/>
              <w:left w:val="single" w:sz="4" w:space="0" w:color="auto"/>
              <w:bottom w:val="single" w:sz="4" w:space="0" w:color="auto"/>
              <w:right w:val="single" w:sz="4" w:space="0" w:color="auto"/>
            </w:tcBorders>
          </w:tcPr>
          <w:p w14:paraId="0EE55DB8" w14:textId="67319013" w:rsidR="00A94151" w:rsidRPr="00C80F8E" w:rsidRDefault="00E30426"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7,042.66</w:t>
            </w:r>
          </w:p>
        </w:tc>
      </w:tr>
      <w:tr w:rsidR="00A94151" w:rsidRPr="00C80F8E" w14:paraId="51D5F1F4" w14:textId="77777777" w:rsidTr="00B8209E">
        <w:tc>
          <w:tcPr>
            <w:tcW w:w="4891" w:type="dxa"/>
            <w:tcBorders>
              <w:top w:val="single" w:sz="4" w:space="0" w:color="auto"/>
              <w:left w:val="single" w:sz="4" w:space="0" w:color="auto"/>
              <w:bottom w:val="single" w:sz="4" w:space="0" w:color="auto"/>
              <w:right w:val="single" w:sz="4" w:space="0" w:color="auto"/>
            </w:tcBorders>
          </w:tcPr>
          <w:p w14:paraId="1666E97D" w14:textId="5B711945"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Prenda de Vestir</w:t>
            </w:r>
          </w:p>
        </w:tc>
        <w:tc>
          <w:tcPr>
            <w:tcW w:w="2268" w:type="dxa"/>
            <w:tcBorders>
              <w:top w:val="single" w:sz="4" w:space="0" w:color="auto"/>
              <w:left w:val="single" w:sz="4" w:space="0" w:color="auto"/>
              <w:bottom w:val="single" w:sz="4" w:space="0" w:color="auto"/>
              <w:right w:val="single" w:sz="4" w:space="0" w:color="auto"/>
            </w:tcBorders>
          </w:tcPr>
          <w:p w14:paraId="05181B88" w14:textId="1DA2CF3C" w:rsidR="00A94151" w:rsidRPr="00C80F8E" w:rsidRDefault="00242F64"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103,167.40</w:t>
            </w:r>
          </w:p>
        </w:tc>
        <w:tc>
          <w:tcPr>
            <w:tcW w:w="2125" w:type="dxa"/>
            <w:tcBorders>
              <w:top w:val="single" w:sz="4" w:space="0" w:color="auto"/>
              <w:left w:val="single" w:sz="4" w:space="0" w:color="auto"/>
              <w:bottom w:val="single" w:sz="4" w:space="0" w:color="auto"/>
              <w:right w:val="single" w:sz="4" w:space="0" w:color="auto"/>
            </w:tcBorders>
          </w:tcPr>
          <w:p w14:paraId="08E4EFF3" w14:textId="6259D9C1" w:rsidR="00A94151" w:rsidRPr="00C80F8E" w:rsidRDefault="00E30426"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317,686.68</w:t>
            </w:r>
          </w:p>
        </w:tc>
      </w:tr>
      <w:tr w:rsidR="007B311C" w:rsidRPr="00C80F8E" w14:paraId="7858F341" w14:textId="77777777" w:rsidTr="00B8209E">
        <w:tc>
          <w:tcPr>
            <w:tcW w:w="4891" w:type="dxa"/>
            <w:tcBorders>
              <w:top w:val="single" w:sz="4" w:space="0" w:color="auto"/>
              <w:left w:val="single" w:sz="4" w:space="0" w:color="auto"/>
              <w:bottom w:val="single" w:sz="4" w:space="0" w:color="auto"/>
              <w:right w:val="single" w:sz="4" w:space="0" w:color="auto"/>
            </w:tcBorders>
          </w:tcPr>
          <w:p w14:paraId="6829B39F" w14:textId="06228B8C" w:rsidR="007B311C" w:rsidRPr="00C80F8E" w:rsidRDefault="007B311C" w:rsidP="00A94151">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Calzados</w:t>
            </w:r>
          </w:p>
        </w:tc>
        <w:tc>
          <w:tcPr>
            <w:tcW w:w="2268" w:type="dxa"/>
            <w:tcBorders>
              <w:top w:val="single" w:sz="4" w:space="0" w:color="auto"/>
              <w:left w:val="single" w:sz="4" w:space="0" w:color="auto"/>
              <w:bottom w:val="single" w:sz="4" w:space="0" w:color="auto"/>
              <w:right w:val="single" w:sz="4" w:space="0" w:color="auto"/>
            </w:tcBorders>
          </w:tcPr>
          <w:p w14:paraId="22DCD1C0" w14:textId="4DB76A00" w:rsidR="007B311C" w:rsidRPr="00C80F8E" w:rsidRDefault="00A94E75"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21,806.40</w:t>
            </w:r>
          </w:p>
        </w:tc>
        <w:tc>
          <w:tcPr>
            <w:tcW w:w="2125" w:type="dxa"/>
            <w:tcBorders>
              <w:top w:val="single" w:sz="4" w:space="0" w:color="auto"/>
              <w:left w:val="single" w:sz="4" w:space="0" w:color="auto"/>
              <w:bottom w:val="single" w:sz="4" w:space="0" w:color="auto"/>
              <w:right w:val="single" w:sz="4" w:space="0" w:color="auto"/>
            </w:tcBorders>
          </w:tcPr>
          <w:p w14:paraId="0C677750" w14:textId="48010A31" w:rsidR="007B311C" w:rsidRPr="00C80F8E" w:rsidRDefault="00A94E75"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A94151" w:rsidRPr="00C80F8E" w14:paraId="39F5957C" w14:textId="77777777" w:rsidTr="00B8209E">
        <w:tc>
          <w:tcPr>
            <w:tcW w:w="4891" w:type="dxa"/>
            <w:tcBorders>
              <w:top w:val="single" w:sz="4" w:space="0" w:color="auto"/>
              <w:left w:val="single" w:sz="4" w:space="0" w:color="auto"/>
              <w:bottom w:val="single" w:sz="4" w:space="0" w:color="auto"/>
              <w:right w:val="single" w:sz="4" w:space="0" w:color="auto"/>
            </w:tcBorders>
          </w:tcPr>
          <w:p w14:paraId="5860D7EC" w14:textId="1CE364C7"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Papel de Escritorio</w:t>
            </w:r>
          </w:p>
        </w:tc>
        <w:tc>
          <w:tcPr>
            <w:tcW w:w="2268" w:type="dxa"/>
            <w:tcBorders>
              <w:top w:val="single" w:sz="4" w:space="0" w:color="auto"/>
              <w:left w:val="single" w:sz="4" w:space="0" w:color="auto"/>
              <w:bottom w:val="single" w:sz="4" w:space="0" w:color="auto"/>
              <w:right w:val="single" w:sz="4" w:space="0" w:color="auto"/>
            </w:tcBorders>
          </w:tcPr>
          <w:p w14:paraId="16485AAB" w14:textId="3FE8DBC7" w:rsidR="00A94151" w:rsidRPr="00C80F8E" w:rsidRDefault="00A94E75"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66,365.16</w:t>
            </w:r>
          </w:p>
        </w:tc>
        <w:tc>
          <w:tcPr>
            <w:tcW w:w="2125" w:type="dxa"/>
            <w:tcBorders>
              <w:top w:val="single" w:sz="4" w:space="0" w:color="auto"/>
              <w:left w:val="single" w:sz="4" w:space="0" w:color="auto"/>
              <w:bottom w:val="single" w:sz="4" w:space="0" w:color="auto"/>
              <w:right w:val="single" w:sz="4" w:space="0" w:color="auto"/>
            </w:tcBorders>
          </w:tcPr>
          <w:p w14:paraId="70CB151B" w14:textId="2D4DA52D" w:rsidR="00A94151" w:rsidRPr="00C80F8E" w:rsidRDefault="00D2511C"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78,422.92</w:t>
            </w:r>
          </w:p>
        </w:tc>
      </w:tr>
      <w:tr w:rsidR="00A94151" w:rsidRPr="00C80F8E" w14:paraId="3590B2E0" w14:textId="77777777" w:rsidTr="00B8209E">
        <w:tc>
          <w:tcPr>
            <w:tcW w:w="4891" w:type="dxa"/>
            <w:tcBorders>
              <w:top w:val="single" w:sz="4" w:space="0" w:color="auto"/>
              <w:left w:val="single" w:sz="4" w:space="0" w:color="auto"/>
              <w:bottom w:val="single" w:sz="4" w:space="0" w:color="auto"/>
              <w:right w:val="single" w:sz="4" w:space="0" w:color="auto"/>
            </w:tcBorders>
          </w:tcPr>
          <w:p w14:paraId="3DA21117" w14:textId="73505E78"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Productos de Papel y Cartón</w:t>
            </w:r>
          </w:p>
        </w:tc>
        <w:tc>
          <w:tcPr>
            <w:tcW w:w="2268" w:type="dxa"/>
            <w:tcBorders>
              <w:top w:val="single" w:sz="4" w:space="0" w:color="auto"/>
              <w:left w:val="single" w:sz="4" w:space="0" w:color="auto"/>
              <w:bottom w:val="single" w:sz="4" w:space="0" w:color="auto"/>
              <w:right w:val="single" w:sz="4" w:space="0" w:color="auto"/>
            </w:tcBorders>
          </w:tcPr>
          <w:p w14:paraId="0D7685B6" w14:textId="779D5C99" w:rsidR="00A94151" w:rsidRPr="00C80F8E" w:rsidRDefault="00A94E75"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709</w:t>
            </w:r>
            <w:r w:rsidR="00EB3D7A" w:rsidRPr="00C80F8E">
              <w:rPr>
                <w:rFonts w:ascii="Abadi" w:hAnsi="Abadi" w:cstheme="minorHAnsi"/>
                <w:sz w:val="20"/>
                <w:szCs w:val="20"/>
                <w:lang w:val="es-ES_tradnl"/>
              </w:rPr>
              <w:t>,172.61</w:t>
            </w:r>
          </w:p>
        </w:tc>
        <w:tc>
          <w:tcPr>
            <w:tcW w:w="2125" w:type="dxa"/>
            <w:tcBorders>
              <w:top w:val="single" w:sz="4" w:space="0" w:color="auto"/>
              <w:left w:val="single" w:sz="4" w:space="0" w:color="auto"/>
              <w:bottom w:val="single" w:sz="4" w:space="0" w:color="auto"/>
              <w:right w:val="single" w:sz="4" w:space="0" w:color="auto"/>
            </w:tcBorders>
          </w:tcPr>
          <w:p w14:paraId="16F44F3E" w14:textId="7DCB4CF3" w:rsidR="00A94151" w:rsidRPr="00C80F8E" w:rsidRDefault="00D2511C"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415,980.37</w:t>
            </w:r>
          </w:p>
        </w:tc>
      </w:tr>
      <w:tr w:rsidR="00A94151" w:rsidRPr="00C80F8E" w14:paraId="124220F6" w14:textId="77777777" w:rsidTr="00B8209E">
        <w:tc>
          <w:tcPr>
            <w:tcW w:w="4891" w:type="dxa"/>
            <w:tcBorders>
              <w:top w:val="single" w:sz="4" w:space="0" w:color="auto"/>
              <w:left w:val="single" w:sz="4" w:space="0" w:color="auto"/>
              <w:bottom w:val="single" w:sz="4" w:space="0" w:color="auto"/>
              <w:right w:val="single" w:sz="4" w:space="0" w:color="auto"/>
            </w:tcBorders>
          </w:tcPr>
          <w:p w14:paraId="1059B30A" w14:textId="243A4A13"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Libros, Revistas y Periódicos</w:t>
            </w:r>
          </w:p>
        </w:tc>
        <w:tc>
          <w:tcPr>
            <w:tcW w:w="2268" w:type="dxa"/>
            <w:tcBorders>
              <w:top w:val="single" w:sz="4" w:space="0" w:color="auto"/>
              <w:left w:val="single" w:sz="4" w:space="0" w:color="auto"/>
              <w:bottom w:val="single" w:sz="4" w:space="0" w:color="auto"/>
              <w:right w:val="single" w:sz="4" w:space="0" w:color="auto"/>
            </w:tcBorders>
          </w:tcPr>
          <w:p w14:paraId="5C3647BE" w14:textId="7EFBC5E8" w:rsidR="00A94151" w:rsidRPr="00C80F8E" w:rsidRDefault="00EB3D7A"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top w:val="single" w:sz="4" w:space="0" w:color="auto"/>
              <w:left w:val="single" w:sz="4" w:space="0" w:color="auto"/>
              <w:bottom w:val="single" w:sz="4" w:space="0" w:color="auto"/>
              <w:right w:val="single" w:sz="4" w:space="0" w:color="auto"/>
            </w:tcBorders>
          </w:tcPr>
          <w:p w14:paraId="296B3E4F" w14:textId="115F9B84" w:rsidR="00A94151" w:rsidRPr="00C80F8E" w:rsidRDefault="005023DC"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78,800.00</w:t>
            </w:r>
          </w:p>
        </w:tc>
      </w:tr>
      <w:tr w:rsidR="00A94151" w:rsidRPr="00C80F8E" w14:paraId="35034B29" w14:textId="77777777" w:rsidTr="00B8209E">
        <w:tc>
          <w:tcPr>
            <w:tcW w:w="4891" w:type="dxa"/>
            <w:tcBorders>
              <w:top w:val="single" w:sz="4" w:space="0" w:color="auto"/>
              <w:left w:val="single" w:sz="4" w:space="0" w:color="auto"/>
              <w:bottom w:val="single" w:sz="4" w:space="0" w:color="auto"/>
              <w:right w:val="single" w:sz="4" w:space="0" w:color="auto"/>
            </w:tcBorders>
          </w:tcPr>
          <w:p w14:paraId="756E5BC1" w14:textId="4243ECAC"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Textos de Enseñanzas</w:t>
            </w:r>
          </w:p>
        </w:tc>
        <w:tc>
          <w:tcPr>
            <w:tcW w:w="2268" w:type="dxa"/>
            <w:tcBorders>
              <w:top w:val="single" w:sz="4" w:space="0" w:color="auto"/>
              <w:left w:val="single" w:sz="4" w:space="0" w:color="auto"/>
              <w:bottom w:val="single" w:sz="4" w:space="0" w:color="auto"/>
              <w:right w:val="single" w:sz="4" w:space="0" w:color="auto"/>
            </w:tcBorders>
          </w:tcPr>
          <w:p w14:paraId="25C3019D" w14:textId="5B139B1A" w:rsidR="00A94151" w:rsidRPr="00C80F8E" w:rsidRDefault="00FD7CEE"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52,500.00</w:t>
            </w:r>
          </w:p>
        </w:tc>
        <w:tc>
          <w:tcPr>
            <w:tcW w:w="2125" w:type="dxa"/>
            <w:tcBorders>
              <w:top w:val="single" w:sz="4" w:space="0" w:color="auto"/>
              <w:left w:val="single" w:sz="4" w:space="0" w:color="auto"/>
              <w:bottom w:val="single" w:sz="4" w:space="0" w:color="auto"/>
              <w:right w:val="single" w:sz="4" w:space="0" w:color="auto"/>
            </w:tcBorders>
          </w:tcPr>
          <w:p w14:paraId="4521994F" w14:textId="59DB2817" w:rsidR="00A94151" w:rsidRPr="00C80F8E" w:rsidRDefault="0049635F"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A94151" w:rsidRPr="00C80F8E" w14:paraId="56E4DA7C" w14:textId="77777777" w:rsidTr="00B8209E">
        <w:tc>
          <w:tcPr>
            <w:tcW w:w="4891" w:type="dxa"/>
            <w:tcBorders>
              <w:top w:val="single" w:sz="4" w:space="0" w:color="auto"/>
              <w:left w:val="single" w:sz="4" w:space="0" w:color="auto"/>
              <w:bottom w:val="single" w:sz="4" w:space="0" w:color="auto"/>
              <w:right w:val="single" w:sz="4" w:space="0" w:color="auto"/>
            </w:tcBorders>
          </w:tcPr>
          <w:p w14:paraId="10EC9ECB" w14:textId="42DB5521"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Productos de Artes</w:t>
            </w:r>
          </w:p>
        </w:tc>
        <w:tc>
          <w:tcPr>
            <w:tcW w:w="2268" w:type="dxa"/>
            <w:tcBorders>
              <w:top w:val="single" w:sz="4" w:space="0" w:color="auto"/>
              <w:left w:val="single" w:sz="4" w:space="0" w:color="auto"/>
              <w:bottom w:val="single" w:sz="4" w:space="0" w:color="auto"/>
              <w:right w:val="single" w:sz="4" w:space="0" w:color="auto"/>
            </w:tcBorders>
          </w:tcPr>
          <w:p w14:paraId="60949B67" w14:textId="5AD796FF" w:rsidR="00A94151" w:rsidRPr="00C80F8E" w:rsidRDefault="00EB3D7A"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top w:val="single" w:sz="4" w:space="0" w:color="auto"/>
              <w:left w:val="single" w:sz="4" w:space="0" w:color="auto"/>
              <w:bottom w:val="single" w:sz="4" w:space="0" w:color="auto"/>
              <w:right w:val="single" w:sz="4" w:space="0" w:color="auto"/>
            </w:tcBorders>
          </w:tcPr>
          <w:p w14:paraId="401A9577" w14:textId="14EF7A79" w:rsidR="00A94151" w:rsidRPr="00C80F8E" w:rsidRDefault="005023DC"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16,520.00</w:t>
            </w:r>
          </w:p>
        </w:tc>
      </w:tr>
      <w:tr w:rsidR="00A94151" w:rsidRPr="00C80F8E" w14:paraId="2337392E" w14:textId="77777777" w:rsidTr="00B8209E">
        <w:tc>
          <w:tcPr>
            <w:tcW w:w="4891" w:type="dxa"/>
            <w:tcBorders>
              <w:top w:val="single" w:sz="4" w:space="0" w:color="auto"/>
              <w:left w:val="single" w:sz="4" w:space="0" w:color="auto"/>
              <w:bottom w:val="single" w:sz="4" w:space="0" w:color="auto"/>
              <w:right w:val="single" w:sz="4" w:space="0" w:color="auto"/>
            </w:tcBorders>
          </w:tcPr>
          <w:p w14:paraId="36F6B122" w14:textId="735DBA3D"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Productos Medicinales para uso Humano</w:t>
            </w:r>
          </w:p>
        </w:tc>
        <w:tc>
          <w:tcPr>
            <w:tcW w:w="2268" w:type="dxa"/>
            <w:tcBorders>
              <w:top w:val="single" w:sz="4" w:space="0" w:color="auto"/>
              <w:left w:val="single" w:sz="4" w:space="0" w:color="auto"/>
              <w:bottom w:val="single" w:sz="4" w:space="0" w:color="auto"/>
              <w:right w:val="single" w:sz="4" w:space="0" w:color="auto"/>
            </w:tcBorders>
          </w:tcPr>
          <w:p w14:paraId="30F62544" w14:textId="21EBD771" w:rsidR="00A94151" w:rsidRPr="00C80F8E" w:rsidRDefault="00FD7CEE"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17,563.20</w:t>
            </w:r>
          </w:p>
        </w:tc>
        <w:tc>
          <w:tcPr>
            <w:tcW w:w="2125" w:type="dxa"/>
            <w:tcBorders>
              <w:top w:val="single" w:sz="4" w:space="0" w:color="auto"/>
              <w:left w:val="single" w:sz="4" w:space="0" w:color="auto"/>
              <w:bottom w:val="single" w:sz="4" w:space="0" w:color="auto"/>
              <w:right w:val="single" w:sz="4" w:space="0" w:color="auto"/>
            </w:tcBorders>
          </w:tcPr>
          <w:p w14:paraId="6E007938" w14:textId="2DDDAF4D" w:rsidR="00A94151" w:rsidRPr="00C80F8E" w:rsidRDefault="006B79B7"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3,444.84</w:t>
            </w:r>
          </w:p>
        </w:tc>
      </w:tr>
      <w:tr w:rsidR="00A94151" w:rsidRPr="00C80F8E" w14:paraId="0FB56B38" w14:textId="77777777" w:rsidTr="00B8209E">
        <w:tc>
          <w:tcPr>
            <w:tcW w:w="4891" w:type="dxa"/>
            <w:tcBorders>
              <w:top w:val="single" w:sz="4" w:space="0" w:color="auto"/>
              <w:left w:val="single" w:sz="4" w:space="0" w:color="auto"/>
              <w:bottom w:val="single" w:sz="4" w:space="0" w:color="auto"/>
              <w:right w:val="single" w:sz="4" w:space="0" w:color="auto"/>
            </w:tcBorders>
          </w:tcPr>
          <w:p w14:paraId="54938427" w14:textId="5984AD58"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Llantas y Neumáticos</w:t>
            </w:r>
          </w:p>
        </w:tc>
        <w:tc>
          <w:tcPr>
            <w:tcW w:w="2268" w:type="dxa"/>
            <w:tcBorders>
              <w:top w:val="single" w:sz="4" w:space="0" w:color="auto"/>
              <w:left w:val="single" w:sz="4" w:space="0" w:color="auto"/>
              <w:bottom w:val="single" w:sz="4" w:space="0" w:color="auto"/>
              <w:right w:val="single" w:sz="4" w:space="0" w:color="auto"/>
            </w:tcBorders>
          </w:tcPr>
          <w:p w14:paraId="3A41AF13" w14:textId="79F7D868" w:rsidR="00A94151" w:rsidRPr="00C80F8E" w:rsidRDefault="00725023"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4,838.00</w:t>
            </w:r>
          </w:p>
        </w:tc>
        <w:tc>
          <w:tcPr>
            <w:tcW w:w="2125" w:type="dxa"/>
            <w:tcBorders>
              <w:top w:val="single" w:sz="4" w:space="0" w:color="auto"/>
              <w:left w:val="single" w:sz="4" w:space="0" w:color="auto"/>
              <w:bottom w:val="single" w:sz="4" w:space="0" w:color="auto"/>
              <w:right w:val="single" w:sz="4" w:space="0" w:color="auto"/>
            </w:tcBorders>
          </w:tcPr>
          <w:p w14:paraId="04E63CC1" w14:textId="5A648631" w:rsidR="00A94151" w:rsidRPr="00C80F8E" w:rsidRDefault="006B79B7"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23,077.99</w:t>
            </w:r>
          </w:p>
        </w:tc>
      </w:tr>
      <w:tr w:rsidR="00A94151" w:rsidRPr="00C80F8E" w14:paraId="7FA608DB" w14:textId="77777777" w:rsidTr="00B8209E">
        <w:tc>
          <w:tcPr>
            <w:tcW w:w="4891" w:type="dxa"/>
            <w:tcBorders>
              <w:top w:val="single" w:sz="4" w:space="0" w:color="auto"/>
              <w:left w:val="single" w:sz="4" w:space="0" w:color="auto"/>
              <w:bottom w:val="single" w:sz="4" w:space="0" w:color="auto"/>
              <w:right w:val="single" w:sz="4" w:space="0" w:color="auto"/>
            </w:tcBorders>
          </w:tcPr>
          <w:p w14:paraId="04D530CB" w14:textId="70EAD866"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Artículos de Plásticos</w:t>
            </w:r>
          </w:p>
        </w:tc>
        <w:tc>
          <w:tcPr>
            <w:tcW w:w="2268" w:type="dxa"/>
            <w:tcBorders>
              <w:top w:val="single" w:sz="4" w:space="0" w:color="auto"/>
              <w:left w:val="single" w:sz="4" w:space="0" w:color="auto"/>
              <w:bottom w:val="single" w:sz="4" w:space="0" w:color="auto"/>
              <w:right w:val="single" w:sz="4" w:space="0" w:color="auto"/>
            </w:tcBorders>
          </w:tcPr>
          <w:p w14:paraId="01BD8629" w14:textId="6E15D891" w:rsidR="00A94151" w:rsidRPr="00C80F8E" w:rsidRDefault="00725023"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20,531.92</w:t>
            </w:r>
          </w:p>
        </w:tc>
        <w:tc>
          <w:tcPr>
            <w:tcW w:w="2125" w:type="dxa"/>
            <w:tcBorders>
              <w:top w:val="single" w:sz="4" w:space="0" w:color="auto"/>
              <w:left w:val="single" w:sz="4" w:space="0" w:color="auto"/>
              <w:bottom w:val="single" w:sz="4" w:space="0" w:color="auto"/>
              <w:right w:val="single" w:sz="4" w:space="0" w:color="auto"/>
            </w:tcBorders>
          </w:tcPr>
          <w:p w14:paraId="5ED07F07" w14:textId="1CB9B1BD" w:rsidR="00A94151" w:rsidRPr="00C80F8E" w:rsidRDefault="005E09F2"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27,457.18</w:t>
            </w:r>
          </w:p>
        </w:tc>
      </w:tr>
      <w:tr w:rsidR="00A94151" w:rsidRPr="00C80F8E" w14:paraId="364E08F7" w14:textId="77777777" w:rsidTr="00B8209E">
        <w:tc>
          <w:tcPr>
            <w:tcW w:w="4891" w:type="dxa"/>
            <w:tcBorders>
              <w:top w:val="single" w:sz="4" w:space="0" w:color="auto"/>
              <w:left w:val="single" w:sz="4" w:space="0" w:color="auto"/>
              <w:bottom w:val="single" w:sz="4" w:space="0" w:color="auto"/>
              <w:right w:val="single" w:sz="4" w:space="0" w:color="auto"/>
            </w:tcBorders>
          </w:tcPr>
          <w:p w14:paraId="2C946EE0" w14:textId="77222FFA"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Herramientas Menores</w:t>
            </w:r>
          </w:p>
        </w:tc>
        <w:tc>
          <w:tcPr>
            <w:tcW w:w="2268" w:type="dxa"/>
            <w:tcBorders>
              <w:top w:val="single" w:sz="4" w:space="0" w:color="auto"/>
              <w:left w:val="single" w:sz="4" w:space="0" w:color="auto"/>
              <w:bottom w:val="single" w:sz="4" w:space="0" w:color="auto"/>
              <w:right w:val="single" w:sz="4" w:space="0" w:color="auto"/>
            </w:tcBorders>
          </w:tcPr>
          <w:p w14:paraId="556E4112" w14:textId="20F92392" w:rsidR="00A94151" w:rsidRPr="00C80F8E" w:rsidRDefault="000162CD"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3,255.00</w:t>
            </w:r>
          </w:p>
        </w:tc>
        <w:tc>
          <w:tcPr>
            <w:tcW w:w="2125" w:type="dxa"/>
            <w:tcBorders>
              <w:top w:val="single" w:sz="4" w:space="0" w:color="auto"/>
              <w:left w:val="single" w:sz="4" w:space="0" w:color="auto"/>
              <w:bottom w:val="single" w:sz="4" w:space="0" w:color="auto"/>
              <w:right w:val="single" w:sz="4" w:space="0" w:color="auto"/>
            </w:tcBorders>
          </w:tcPr>
          <w:p w14:paraId="01C32423" w14:textId="61013A05" w:rsidR="00A94151" w:rsidRPr="00C80F8E" w:rsidRDefault="00440CA4"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944.00</w:t>
            </w:r>
          </w:p>
        </w:tc>
      </w:tr>
      <w:tr w:rsidR="00A94151" w:rsidRPr="00C80F8E" w14:paraId="457FD0EB" w14:textId="77777777" w:rsidTr="00B8209E">
        <w:tc>
          <w:tcPr>
            <w:tcW w:w="4891" w:type="dxa"/>
            <w:tcBorders>
              <w:top w:val="single" w:sz="4" w:space="0" w:color="auto"/>
              <w:left w:val="single" w:sz="4" w:space="0" w:color="auto"/>
              <w:bottom w:val="single" w:sz="4" w:space="0" w:color="auto"/>
              <w:right w:val="single" w:sz="4" w:space="0" w:color="auto"/>
            </w:tcBorders>
          </w:tcPr>
          <w:p w14:paraId="12536158" w14:textId="75979496"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Accesorios de Metal</w:t>
            </w:r>
          </w:p>
        </w:tc>
        <w:tc>
          <w:tcPr>
            <w:tcW w:w="2268" w:type="dxa"/>
            <w:tcBorders>
              <w:top w:val="single" w:sz="4" w:space="0" w:color="auto"/>
              <w:left w:val="single" w:sz="4" w:space="0" w:color="auto"/>
              <w:bottom w:val="single" w:sz="4" w:space="0" w:color="auto"/>
              <w:right w:val="single" w:sz="4" w:space="0" w:color="auto"/>
            </w:tcBorders>
          </w:tcPr>
          <w:p w14:paraId="23CA2DC9" w14:textId="6FD25AD6" w:rsidR="00A94151" w:rsidRPr="00C80F8E" w:rsidRDefault="0035209D"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1,973.00</w:t>
            </w:r>
          </w:p>
        </w:tc>
        <w:tc>
          <w:tcPr>
            <w:tcW w:w="2125" w:type="dxa"/>
            <w:tcBorders>
              <w:top w:val="single" w:sz="4" w:space="0" w:color="auto"/>
              <w:left w:val="single" w:sz="4" w:space="0" w:color="auto"/>
              <w:bottom w:val="single" w:sz="4" w:space="0" w:color="auto"/>
              <w:right w:val="single" w:sz="4" w:space="0" w:color="auto"/>
            </w:tcBorders>
          </w:tcPr>
          <w:p w14:paraId="1E4B3011" w14:textId="1109A457" w:rsidR="00A94151" w:rsidRPr="00C80F8E" w:rsidRDefault="005E09F2"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14,126.22</w:t>
            </w:r>
          </w:p>
        </w:tc>
      </w:tr>
      <w:tr w:rsidR="00A94151" w:rsidRPr="00C80F8E" w14:paraId="3CDC4F74" w14:textId="77777777" w:rsidTr="00B8209E">
        <w:tc>
          <w:tcPr>
            <w:tcW w:w="4891" w:type="dxa"/>
            <w:tcBorders>
              <w:top w:val="single" w:sz="4" w:space="0" w:color="auto"/>
              <w:left w:val="single" w:sz="4" w:space="0" w:color="auto"/>
              <w:bottom w:val="single" w:sz="4" w:space="0" w:color="auto"/>
              <w:right w:val="single" w:sz="4" w:space="0" w:color="auto"/>
            </w:tcBorders>
          </w:tcPr>
          <w:p w14:paraId="07B79F55" w14:textId="532C279E"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Productos de Cemento</w:t>
            </w:r>
          </w:p>
        </w:tc>
        <w:tc>
          <w:tcPr>
            <w:tcW w:w="2268" w:type="dxa"/>
            <w:tcBorders>
              <w:top w:val="single" w:sz="4" w:space="0" w:color="auto"/>
              <w:left w:val="single" w:sz="4" w:space="0" w:color="auto"/>
              <w:bottom w:val="single" w:sz="4" w:space="0" w:color="auto"/>
              <w:right w:val="single" w:sz="4" w:space="0" w:color="auto"/>
            </w:tcBorders>
          </w:tcPr>
          <w:p w14:paraId="2A683D8C" w14:textId="36AD2F2F" w:rsidR="00A94151" w:rsidRPr="00C80F8E" w:rsidRDefault="00EE4904"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625.00</w:t>
            </w:r>
          </w:p>
        </w:tc>
        <w:tc>
          <w:tcPr>
            <w:tcW w:w="2125" w:type="dxa"/>
            <w:tcBorders>
              <w:top w:val="single" w:sz="4" w:space="0" w:color="auto"/>
              <w:left w:val="single" w:sz="4" w:space="0" w:color="auto"/>
              <w:bottom w:val="single" w:sz="4" w:space="0" w:color="auto"/>
              <w:right w:val="single" w:sz="4" w:space="0" w:color="auto"/>
            </w:tcBorders>
          </w:tcPr>
          <w:p w14:paraId="7C0DEA24" w14:textId="2B76DFF4" w:rsidR="00A94151" w:rsidRPr="00C80F8E" w:rsidRDefault="00913BEB"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13,776.20</w:t>
            </w:r>
          </w:p>
        </w:tc>
      </w:tr>
      <w:tr w:rsidR="00A94151" w:rsidRPr="00C80F8E" w14:paraId="568AF438" w14:textId="77777777" w:rsidTr="00B8209E">
        <w:tc>
          <w:tcPr>
            <w:tcW w:w="4891" w:type="dxa"/>
            <w:tcBorders>
              <w:top w:val="single" w:sz="4" w:space="0" w:color="auto"/>
              <w:left w:val="single" w:sz="4" w:space="0" w:color="auto"/>
              <w:bottom w:val="single" w:sz="4" w:space="0" w:color="auto"/>
              <w:right w:val="single" w:sz="4" w:space="0" w:color="auto"/>
            </w:tcBorders>
          </w:tcPr>
          <w:p w14:paraId="271C7853" w14:textId="5FF8AC3E"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Repuestos</w:t>
            </w:r>
          </w:p>
        </w:tc>
        <w:tc>
          <w:tcPr>
            <w:tcW w:w="2268" w:type="dxa"/>
            <w:tcBorders>
              <w:top w:val="single" w:sz="4" w:space="0" w:color="auto"/>
              <w:left w:val="single" w:sz="4" w:space="0" w:color="auto"/>
              <w:bottom w:val="single" w:sz="4" w:space="0" w:color="auto"/>
              <w:right w:val="single" w:sz="4" w:space="0" w:color="auto"/>
            </w:tcBorders>
          </w:tcPr>
          <w:p w14:paraId="0A40D508" w14:textId="3036F93D" w:rsidR="00A94151" w:rsidRPr="00C80F8E" w:rsidRDefault="00A53054"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3,683.47</w:t>
            </w:r>
          </w:p>
        </w:tc>
        <w:tc>
          <w:tcPr>
            <w:tcW w:w="2125" w:type="dxa"/>
            <w:tcBorders>
              <w:top w:val="single" w:sz="4" w:space="0" w:color="auto"/>
              <w:left w:val="single" w:sz="4" w:space="0" w:color="auto"/>
              <w:bottom w:val="single" w:sz="4" w:space="0" w:color="auto"/>
              <w:right w:val="single" w:sz="4" w:space="0" w:color="auto"/>
            </w:tcBorders>
          </w:tcPr>
          <w:p w14:paraId="74395551" w14:textId="59147F55" w:rsidR="00A94151" w:rsidRPr="00C80F8E" w:rsidRDefault="00913BEB"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6,420.00</w:t>
            </w:r>
          </w:p>
        </w:tc>
      </w:tr>
      <w:tr w:rsidR="00A94151" w:rsidRPr="00C80F8E" w14:paraId="4FD03C06" w14:textId="77777777" w:rsidTr="00B8209E">
        <w:tc>
          <w:tcPr>
            <w:tcW w:w="4891" w:type="dxa"/>
            <w:tcBorders>
              <w:top w:val="single" w:sz="4" w:space="0" w:color="auto"/>
              <w:left w:val="single" w:sz="4" w:space="0" w:color="auto"/>
              <w:bottom w:val="single" w:sz="4" w:space="0" w:color="auto"/>
              <w:right w:val="single" w:sz="4" w:space="0" w:color="auto"/>
            </w:tcBorders>
          </w:tcPr>
          <w:p w14:paraId="099733D3" w14:textId="61F4AA2D"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Gasolina</w:t>
            </w:r>
          </w:p>
        </w:tc>
        <w:tc>
          <w:tcPr>
            <w:tcW w:w="2268" w:type="dxa"/>
            <w:tcBorders>
              <w:top w:val="single" w:sz="4" w:space="0" w:color="auto"/>
              <w:left w:val="single" w:sz="4" w:space="0" w:color="auto"/>
              <w:bottom w:val="single" w:sz="4" w:space="0" w:color="auto"/>
              <w:right w:val="single" w:sz="4" w:space="0" w:color="auto"/>
            </w:tcBorders>
          </w:tcPr>
          <w:p w14:paraId="08ABE33F" w14:textId="7340897E" w:rsidR="00A94151" w:rsidRPr="00C80F8E" w:rsidRDefault="00A53054"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3,654,980.00</w:t>
            </w:r>
          </w:p>
        </w:tc>
        <w:tc>
          <w:tcPr>
            <w:tcW w:w="2125" w:type="dxa"/>
            <w:tcBorders>
              <w:top w:val="single" w:sz="4" w:space="0" w:color="auto"/>
              <w:left w:val="single" w:sz="4" w:space="0" w:color="auto"/>
              <w:bottom w:val="single" w:sz="4" w:space="0" w:color="auto"/>
              <w:right w:val="single" w:sz="4" w:space="0" w:color="auto"/>
            </w:tcBorders>
          </w:tcPr>
          <w:p w14:paraId="4539A733" w14:textId="64801844" w:rsidR="00A94151" w:rsidRPr="00C80F8E" w:rsidRDefault="00CC011E"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3,262,202.00</w:t>
            </w:r>
          </w:p>
        </w:tc>
      </w:tr>
      <w:tr w:rsidR="00A94151" w:rsidRPr="00C80F8E" w14:paraId="01FAF702" w14:textId="77777777" w:rsidTr="00B8209E">
        <w:tc>
          <w:tcPr>
            <w:tcW w:w="4891" w:type="dxa"/>
            <w:tcBorders>
              <w:top w:val="single" w:sz="4" w:space="0" w:color="auto"/>
              <w:left w:val="single" w:sz="4" w:space="0" w:color="auto"/>
              <w:bottom w:val="single" w:sz="4" w:space="0" w:color="auto"/>
              <w:right w:val="single" w:sz="4" w:space="0" w:color="auto"/>
            </w:tcBorders>
          </w:tcPr>
          <w:p w14:paraId="68977EC5" w14:textId="02317085"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Gasoil</w:t>
            </w:r>
          </w:p>
        </w:tc>
        <w:tc>
          <w:tcPr>
            <w:tcW w:w="2268" w:type="dxa"/>
            <w:tcBorders>
              <w:top w:val="single" w:sz="4" w:space="0" w:color="auto"/>
              <w:left w:val="single" w:sz="4" w:space="0" w:color="auto"/>
              <w:bottom w:val="single" w:sz="4" w:space="0" w:color="auto"/>
              <w:right w:val="single" w:sz="4" w:space="0" w:color="auto"/>
            </w:tcBorders>
          </w:tcPr>
          <w:p w14:paraId="16E72B41" w14:textId="0D30EC0B" w:rsidR="00A94151" w:rsidRPr="00C80F8E" w:rsidRDefault="00792A38"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123,652.80</w:t>
            </w:r>
          </w:p>
        </w:tc>
        <w:tc>
          <w:tcPr>
            <w:tcW w:w="2125" w:type="dxa"/>
            <w:tcBorders>
              <w:top w:val="single" w:sz="4" w:space="0" w:color="auto"/>
              <w:left w:val="single" w:sz="4" w:space="0" w:color="auto"/>
              <w:bottom w:val="single" w:sz="4" w:space="0" w:color="auto"/>
              <w:right w:val="single" w:sz="4" w:space="0" w:color="auto"/>
            </w:tcBorders>
          </w:tcPr>
          <w:p w14:paraId="3D730E5E" w14:textId="6AA0DEB0" w:rsidR="00A94151" w:rsidRPr="00C80F8E" w:rsidRDefault="00CC011E"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199,440.00</w:t>
            </w:r>
          </w:p>
        </w:tc>
      </w:tr>
      <w:tr w:rsidR="00A94151" w:rsidRPr="00C80F8E" w14:paraId="760A144D" w14:textId="77777777" w:rsidTr="00B8209E">
        <w:tc>
          <w:tcPr>
            <w:tcW w:w="4891" w:type="dxa"/>
            <w:tcBorders>
              <w:top w:val="single" w:sz="4" w:space="0" w:color="auto"/>
              <w:left w:val="single" w:sz="4" w:space="0" w:color="auto"/>
              <w:bottom w:val="single" w:sz="4" w:space="0" w:color="auto"/>
              <w:right w:val="single" w:sz="4" w:space="0" w:color="auto"/>
            </w:tcBorders>
          </w:tcPr>
          <w:p w14:paraId="4379CEB8" w14:textId="73FA4421" w:rsidR="00A94151" w:rsidRPr="00C80F8E" w:rsidRDefault="00A94151" w:rsidP="00A94151">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Productos Químicos de uso Personal</w:t>
            </w:r>
          </w:p>
        </w:tc>
        <w:tc>
          <w:tcPr>
            <w:tcW w:w="2268" w:type="dxa"/>
            <w:tcBorders>
              <w:top w:val="single" w:sz="4" w:space="0" w:color="auto"/>
              <w:left w:val="single" w:sz="4" w:space="0" w:color="auto"/>
              <w:bottom w:val="single" w:sz="4" w:space="0" w:color="auto"/>
              <w:right w:val="single" w:sz="4" w:space="0" w:color="auto"/>
            </w:tcBorders>
          </w:tcPr>
          <w:p w14:paraId="32FC3F3D" w14:textId="6DC9F615" w:rsidR="00A94151" w:rsidRPr="00C80F8E" w:rsidRDefault="00C41EDC"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483</w:t>
            </w:r>
            <w:r w:rsidR="00D630B7" w:rsidRPr="00C80F8E">
              <w:rPr>
                <w:rFonts w:ascii="Abadi" w:hAnsi="Abadi" w:cstheme="minorHAnsi"/>
                <w:sz w:val="20"/>
                <w:szCs w:val="20"/>
                <w:lang w:val="es-ES_tradnl"/>
              </w:rPr>
              <w:t>.80</w:t>
            </w:r>
          </w:p>
        </w:tc>
        <w:tc>
          <w:tcPr>
            <w:tcW w:w="2125" w:type="dxa"/>
            <w:tcBorders>
              <w:top w:val="single" w:sz="4" w:space="0" w:color="auto"/>
              <w:left w:val="single" w:sz="4" w:space="0" w:color="auto"/>
              <w:bottom w:val="single" w:sz="4" w:space="0" w:color="auto"/>
              <w:right w:val="single" w:sz="4" w:space="0" w:color="auto"/>
            </w:tcBorders>
          </w:tcPr>
          <w:p w14:paraId="1212CB33" w14:textId="6F8A42BF" w:rsidR="00A94151" w:rsidRPr="00C80F8E" w:rsidRDefault="00D630B7"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A94151" w:rsidRPr="00C80F8E" w14:paraId="314D19A7" w14:textId="77777777" w:rsidTr="00B8209E">
        <w:tc>
          <w:tcPr>
            <w:tcW w:w="4891" w:type="dxa"/>
            <w:tcBorders>
              <w:top w:val="single" w:sz="4" w:space="0" w:color="auto"/>
              <w:left w:val="single" w:sz="4" w:space="0" w:color="auto"/>
              <w:bottom w:val="single" w:sz="4" w:space="0" w:color="auto"/>
              <w:right w:val="single" w:sz="4" w:space="0" w:color="auto"/>
            </w:tcBorders>
          </w:tcPr>
          <w:p w14:paraId="261C34D1" w14:textId="3DB64E92"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Pintura, Lacas y Barnices</w:t>
            </w:r>
          </w:p>
        </w:tc>
        <w:tc>
          <w:tcPr>
            <w:tcW w:w="2268" w:type="dxa"/>
            <w:tcBorders>
              <w:top w:val="single" w:sz="4" w:space="0" w:color="auto"/>
              <w:left w:val="single" w:sz="4" w:space="0" w:color="auto"/>
              <w:bottom w:val="single" w:sz="4" w:space="0" w:color="auto"/>
              <w:right w:val="single" w:sz="4" w:space="0" w:color="auto"/>
            </w:tcBorders>
          </w:tcPr>
          <w:p w14:paraId="23230640" w14:textId="7EDF5A13" w:rsidR="00A94151" w:rsidRPr="00C80F8E" w:rsidRDefault="00D630B7"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134,947.51</w:t>
            </w:r>
          </w:p>
        </w:tc>
        <w:tc>
          <w:tcPr>
            <w:tcW w:w="2125" w:type="dxa"/>
            <w:tcBorders>
              <w:top w:val="single" w:sz="4" w:space="0" w:color="auto"/>
              <w:left w:val="single" w:sz="4" w:space="0" w:color="auto"/>
              <w:bottom w:val="single" w:sz="4" w:space="0" w:color="auto"/>
              <w:right w:val="single" w:sz="4" w:space="0" w:color="auto"/>
            </w:tcBorders>
          </w:tcPr>
          <w:p w14:paraId="11B3944D" w14:textId="74B1C079" w:rsidR="00A94151" w:rsidRPr="00C80F8E" w:rsidRDefault="000D26F9"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71,997.00</w:t>
            </w:r>
          </w:p>
        </w:tc>
      </w:tr>
      <w:tr w:rsidR="00A94151" w:rsidRPr="00C80F8E" w14:paraId="4089E9F0" w14:textId="77777777" w:rsidTr="00B8209E">
        <w:tc>
          <w:tcPr>
            <w:tcW w:w="4891" w:type="dxa"/>
            <w:tcBorders>
              <w:top w:val="single" w:sz="4" w:space="0" w:color="auto"/>
              <w:left w:val="single" w:sz="4" w:space="0" w:color="auto"/>
              <w:bottom w:val="single" w:sz="4" w:space="0" w:color="auto"/>
              <w:right w:val="single" w:sz="4" w:space="0" w:color="auto"/>
            </w:tcBorders>
          </w:tcPr>
          <w:p w14:paraId="6253D220" w14:textId="15F10FFC"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Materiales para Limpieza</w:t>
            </w:r>
          </w:p>
        </w:tc>
        <w:tc>
          <w:tcPr>
            <w:tcW w:w="2268" w:type="dxa"/>
            <w:tcBorders>
              <w:top w:val="single" w:sz="4" w:space="0" w:color="auto"/>
              <w:left w:val="single" w:sz="4" w:space="0" w:color="auto"/>
              <w:bottom w:val="single" w:sz="4" w:space="0" w:color="auto"/>
              <w:right w:val="single" w:sz="4" w:space="0" w:color="auto"/>
            </w:tcBorders>
          </w:tcPr>
          <w:p w14:paraId="44B0FC0D" w14:textId="7B81B442" w:rsidR="00A94151" w:rsidRPr="00C80F8E" w:rsidRDefault="0058373A"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182</w:t>
            </w:r>
            <w:r w:rsidR="00684A5F" w:rsidRPr="00C80F8E">
              <w:rPr>
                <w:rFonts w:ascii="Abadi" w:hAnsi="Abadi" w:cstheme="minorHAnsi"/>
                <w:sz w:val="20"/>
                <w:szCs w:val="20"/>
                <w:lang w:val="es-ES_tradnl"/>
              </w:rPr>
              <w:t>,384.00</w:t>
            </w:r>
          </w:p>
        </w:tc>
        <w:tc>
          <w:tcPr>
            <w:tcW w:w="2125" w:type="dxa"/>
            <w:tcBorders>
              <w:top w:val="single" w:sz="4" w:space="0" w:color="auto"/>
              <w:left w:val="single" w:sz="4" w:space="0" w:color="auto"/>
              <w:bottom w:val="single" w:sz="4" w:space="0" w:color="auto"/>
              <w:right w:val="single" w:sz="4" w:space="0" w:color="auto"/>
            </w:tcBorders>
          </w:tcPr>
          <w:p w14:paraId="54C2642D" w14:textId="17E61AF7" w:rsidR="00A94151" w:rsidRPr="00C80F8E" w:rsidRDefault="00570D1A"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71,026.97</w:t>
            </w:r>
          </w:p>
        </w:tc>
      </w:tr>
      <w:tr w:rsidR="00A94151" w:rsidRPr="00C80F8E" w14:paraId="0EF76E58" w14:textId="77777777" w:rsidTr="00B8209E">
        <w:tc>
          <w:tcPr>
            <w:tcW w:w="4891" w:type="dxa"/>
            <w:tcBorders>
              <w:top w:val="single" w:sz="4" w:space="0" w:color="auto"/>
              <w:left w:val="single" w:sz="4" w:space="0" w:color="auto"/>
              <w:bottom w:val="single" w:sz="4" w:space="0" w:color="auto"/>
              <w:right w:val="single" w:sz="4" w:space="0" w:color="auto"/>
            </w:tcBorders>
          </w:tcPr>
          <w:p w14:paraId="428BABF2" w14:textId="3F0690AB"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Útiles de Escritorio, Oficina e Informática</w:t>
            </w:r>
          </w:p>
        </w:tc>
        <w:tc>
          <w:tcPr>
            <w:tcW w:w="2268" w:type="dxa"/>
            <w:tcBorders>
              <w:top w:val="single" w:sz="4" w:space="0" w:color="auto"/>
              <w:left w:val="single" w:sz="4" w:space="0" w:color="auto"/>
              <w:bottom w:val="single" w:sz="4" w:space="0" w:color="auto"/>
              <w:right w:val="single" w:sz="4" w:space="0" w:color="auto"/>
            </w:tcBorders>
          </w:tcPr>
          <w:p w14:paraId="03502BAC" w14:textId="0A9D3D1F" w:rsidR="00A94151" w:rsidRPr="00C80F8E" w:rsidRDefault="00684A5F"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255,570.01</w:t>
            </w:r>
          </w:p>
        </w:tc>
        <w:tc>
          <w:tcPr>
            <w:tcW w:w="2125" w:type="dxa"/>
            <w:tcBorders>
              <w:top w:val="single" w:sz="4" w:space="0" w:color="auto"/>
              <w:left w:val="single" w:sz="4" w:space="0" w:color="auto"/>
              <w:bottom w:val="single" w:sz="4" w:space="0" w:color="auto"/>
              <w:right w:val="single" w:sz="4" w:space="0" w:color="auto"/>
            </w:tcBorders>
          </w:tcPr>
          <w:p w14:paraId="35A82746" w14:textId="164089B9" w:rsidR="00A94151" w:rsidRPr="00C80F8E" w:rsidRDefault="00570D1A"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219,110.59</w:t>
            </w:r>
          </w:p>
        </w:tc>
      </w:tr>
      <w:tr w:rsidR="00A94151" w:rsidRPr="00C80F8E" w14:paraId="0E9E1113" w14:textId="77777777" w:rsidTr="00B8209E">
        <w:tc>
          <w:tcPr>
            <w:tcW w:w="4891" w:type="dxa"/>
            <w:tcBorders>
              <w:top w:val="single" w:sz="4" w:space="0" w:color="auto"/>
              <w:left w:val="single" w:sz="4" w:space="0" w:color="auto"/>
              <w:bottom w:val="single" w:sz="4" w:space="0" w:color="auto"/>
              <w:right w:val="single" w:sz="4" w:space="0" w:color="auto"/>
            </w:tcBorders>
          </w:tcPr>
          <w:p w14:paraId="50185289" w14:textId="12FA6D80" w:rsidR="00A94151" w:rsidRPr="00C80F8E" w:rsidRDefault="00CF2D82" w:rsidP="00A94151">
            <w:pPr>
              <w:rPr>
                <w:rFonts w:ascii="Abadi" w:hAnsi="Abadi" w:cstheme="minorHAnsi"/>
                <w:color w:val="000000"/>
                <w:sz w:val="20"/>
                <w:szCs w:val="20"/>
                <w:lang w:val="es-ES_tradnl"/>
              </w:rPr>
            </w:pPr>
            <w:r w:rsidRPr="00C80F8E">
              <w:rPr>
                <w:rFonts w:ascii="Abadi" w:hAnsi="Abadi" w:cs="Arial"/>
                <w:color w:val="000000"/>
                <w:sz w:val="20"/>
                <w:szCs w:val="20"/>
                <w:lang w:val="es-ES_tradnl"/>
              </w:rPr>
              <w:t>Útiles</w:t>
            </w:r>
            <w:r w:rsidR="00A94151" w:rsidRPr="00C80F8E">
              <w:rPr>
                <w:rFonts w:ascii="Abadi" w:hAnsi="Abadi" w:cs="Arial"/>
                <w:color w:val="000000"/>
                <w:sz w:val="20"/>
                <w:szCs w:val="20"/>
                <w:lang w:val="es-ES_tradnl"/>
              </w:rPr>
              <w:t xml:space="preserve"> Menores </w:t>
            </w:r>
            <w:r w:rsidRPr="00C80F8E">
              <w:rPr>
                <w:rFonts w:ascii="Abadi" w:hAnsi="Abadi" w:cs="Arial"/>
                <w:color w:val="000000"/>
                <w:sz w:val="20"/>
                <w:szCs w:val="20"/>
                <w:lang w:val="es-ES_tradnl"/>
              </w:rPr>
              <w:t>Médicos</w:t>
            </w:r>
            <w:r w:rsidR="00A94151" w:rsidRPr="00C80F8E">
              <w:rPr>
                <w:rFonts w:ascii="Abadi" w:hAnsi="Abadi" w:cs="Arial"/>
                <w:color w:val="000000"/>
                <w:sz w:val="20"/>
                <w:szCs w:val="20"/>
                <w:lang w:val="es-ES_tradnl"/>
              </w:rPr>
              <w:t xml:space="preserve"> </w:t>
            </w:r>
            <w:r w:rsidRPr="00C80F8E">
              <w:rPr>
                <w:rFonts w:ascii="Abadi" w:hAnsi="Abadi" w:cs="Arial"/>
                <w:color w:val="000000"/>
                <w:sz w:val="20"/>
                <w:szCs w:val="20"/>
                <w:lang w:val="es-ES_tradnl"/>
              </w:rPr>
              <w:t>Quirúrgicos</w:t>
            </w:r>
          </w:p>
        </w:tc>
        <w:tc>
          <w:tcPr>
            <w:tcW w:w="2268" w:type="dxa"/>
            <w:tcBorders>
              <w:top w:val="single" w:sz="4" w:space="0" w:color="auto"/>
              <w:left w:val="single" w:sz="4" w:space="0" w:color="auto"/>
              <w:bottom w:val="single" w:sz="4" w:space="0" w:color="auto"/>
              <w:right w:val="single" w:sz="4" w:space="0" w:color="auto"/>
            </w:tcBorders>
          </w:tcPr>
          <w:p w14:paraId="50233B91" w14:textId="2F174BC5" w:rsidR="00A94151" w:rsidRPr="00C80F8E" w:rsidRDefault="00684A5F"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6,896.10</w:t>
            </w:r>
          </w:p>
        </w:tc>
        <w:tc>
          <w:tcPr>
            <w:tcW w:w="2125" w:type="dxa"/>
            <w:tcBorders>
              <w:top w:val="single" w:sz="4" w:space="0" w:color="auto"/>
              <w:left w:val="single" w:sz="4" w:space="0" w:color="auto"/>
              <w:bottom w:val="single" w:sz="4" w:space="0" w:color="auto"/>
              <w:right w:val="single" w:sz="4" w:space="0" w:color="auto"/>
            </w:tcBorders>
          </w:tcPr>
          <w:p w14:paraId="72B115CB" w14:textId="1F553CD2" w:rsidR="00A94151" w:rsidRPr="00C80F8E" w:rsidRDefault="0049635F"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A94151" w:rsidRPr="00C80F8E" w14:paraId="15DD7348" w14:textId="77777777" w:rsidTr="00B8209E">
        <w:tc>
          <w:tcPr>
            <w:tcW w:w="4891" w:type="dxa"/>
            <w:tcBorders>
              <w:top w:val="single" w:sz="4" w:space="0" w:color="auto"/>
              <w:left w:val="single" w:sz="4" w:space="0" w:color="auto"/>
              <w:bottom w:val="single" w:sz="4" w:space="0" w:color="auto"/>
              <w:right w:val="single" w:sz="4" w:space="0" w:color="auto"/>
            </w:tcBorders>
          </w:tcPr>
          <w:p w14:paraId="60746526" w14:textId="0F821750" w:rsidR="00A94151" w:rsidRPr="00C80F8E" w:rsidRDefault="00A94151" w:rsidP="00A94151">
            <w:pPr>
              <w:rPr>
                <w:rFonts w:ascii="Abadi" w:hAnsi="Abadi" w:cstheme="minorHAnsi"/>
                <w:b/>
                <w:bCs/>
                <w:sz w:val="20"/>
                <w:szCs w:val="20"/>
                <w:lang w:val="es-ES_tradnl"/>
              </w:rPr>
            </w:pPr>
            <w:r w:rsidRPr="00C80F8E">
              <w:rPr>
                <w:rFonts w:ascii="Abadi" w:hAnsi="Abadi" w:cstheme="minorHAnsi"/>
                <w:color w:val="000000"/>
                <w:sz w:val="20"/>
                <w:szCs w:val="20"/>
                <w:lang w:val="es-ES_tradnl"/>
              </w:rPr>
              <w:t>Útiles de Cocina y Comedor</w:t>
            </w:r>
          </w:p>
        </w:tc>
        <w:tc>
          <w:tcPr>
            <w:tcW w:w="2268" w:type="dxa"/>
            <w:tcBorders>
              <w:top w:val="single" w:sz="4" w:space="0" w:color="auto"/>
              <w:left w:val="single" w:sz="4" w:space="0" w:color="auto"/>
              <w:bottom w:val="single" w:sz="4" w:space="0" w:color="auto"/>
              <w:right w:val="single" w:sz="4" w:space="0" w:color="auto"/>
            </w:tcBorders>
          </w:tcPr>
          <w:p w14:paraId="6C595418" w14:textId="64B4822F" w:rsidR="00A94151" w:rsidRPr="00C80F8E" w:rsidRDefault="00684A5F"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254</w:t>
            </w:r>
            <w:r w:rsidR="00326EE3" w:rsidRPr="00C80F8E">
              <w:rPr>
                <w:rFonts w:ascii="Abadi" w:hAnsi="Abadi" w:cstheme="minorHAnsi"/>
                <w:sz w:val="20"/>
                <w:szCs w:val="20"/>
                <w:lang w:val="es-ES_tradnl"/>
              </w:rPr>
              <w:t>,571.00</w:t>
            </w:r>
          </w:p>
        </w:tc>
        <w:tc>
          <w:tcPr>
            <w:tcW w:w="2125" w:type="dxa"/>
            <w:tcBorders>
              <w:top w:val="single" w:sz="4" w:space="0" w:color="auto"/>
              <w:left w:val="single" w:sz="4" w:space="0" w:color="auto"/>
              <w:bottom w:val="single" w:sz="4" w:space="0" w:color="auto"/>
              <w:right w:val="single" w:sz="4" w:space="0" w:color="auto"/>
            </w:tcBorders>
          </w:tcPr>
          <w:p w14:paraId="39FC0F23" w14:textId="5F6A9927" w:rsidR="00A94151" w:rsidRPr="00C80F8E" w:rsidRDefault="000B2E00"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245,213.44</w:t>
            </w:r>
          </w:p>
        </w:tc>
      </w:tr>
      <w:tr w:rsidR="00A94151" w:rsidRPr="00C80F8E" w14:paraId="347EF09D" w14:textId="77777777" w:rsidTr="00B8209E">
        <w:tc>
          <w:tcPr>
            <w:tcW w:w="4891" w:type="dxa"/>
            <w:tcBorders>
              <w:top w:val="single" w:sz="4" w:space="0" w:color="auto"/>
              <w:left w:val="single" w:sz="4" w:space="0" w:color="auto"/>
              <w:bottom w:val="single" w:sz="4" w:space="0" w:color="auto"/>
              <w:right w:val="single" w:sz="4" w:space="0" w:color="auto"/>
            </w:tcBorders>
          </w:tcPr>
          <w:p w14:paraId="673CA4F1" w14:textId="37B10268"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t>Productos Eléctricos y Afines</w:t>
            </w:r>
          </w:p>
        </w:tc>
        <w:tc>
          <w:tcPr>
            <w:tcW w:w="2268" w:type="dxa"/>
            <w:tcBorders>
              <w:top w:val="single" w:sz="4" w:space="0" w:color="auto"/>
              <w:left w:val="single" w:sz="4" w:space="0" w:color="auto"/>
              <w:bottom w:val="single" w:sz="4" w:space="0" w:color="auto"/>
              <w:right w:val="single" w:sz="4" w:space="0" w:color="auto"/>
            </w:tcBorders>
          </w:tcPr>
          <w:p w14:paraId="1C9094D5" w14:textId="17E6F850" w:rsidR="00A94151" w:rsidRPr="00C80F8E" w:rsidRDefault="00326EE3" w:rsidP="00A94151">
            <w:pPr>
              <w:tabs>
                <w:tab w:val="left" w:pos="696"/>
                <w:tab w:val="center" w:pos="954"/>
              </w:tabs>
              <w:jc w:val="right"/>
              <w:rPr>
                <w:rFonts w:ascii="Abadi" w:hAnsi="Abadi"/>
                <w:iCs/>
                <w:color w:val="000000"/>
                <w:sz w:val="20"/>
                <w:szCs w:val="20"/>
                <w:lang w:val="es-ES_tradnl"/>
              </w:rPr>
            </w:pPr>
            <w:r w:rsidRPr="00C80F8E">
              <w:rPr>
                <w:rFonts w:ascii="Abadi" w:hAnsi="Abadi"/>
                <w:iCs/>
                <w:color w:val="000000"/>
                <w:sz w:val="20"/>
                <w:szCs w:val="20"/>
                <w:lang w:val="es-ES_tradnl"/>
              </w:rPr>
              <w:t>137,145.84</w:t>
            </w:r>
          </w:p>
        </w:tc>
        <w:tc>
          <w:tcPr>
            <w:tcW w:w="2125" w:type="dxa"/>
            <w:tcBorders>
              <w:top w:val="single" w:sz="4" w:space="0" w:color="auto"/>
              <w:left w:val="single" w:sz="4" w:space="0" w:color="auto"/>
              <w:bottom w:val="single" w:sz="4" w:space="0" w:color="auto"/>
              <w:right w:val="single" w:sz="4" w:space="0" w:color="auto"/>
            </w:tcBorders>
          </w:tcPr>
          <w:p w14:paraId="71AA7CB4" w14:textId="598B82EB" w:rsidR="00A94151" w:rsidRPr="00C80F8E" w:rsidRDefault="000B2E00" w:rsidP="00A94151">
            <w:pPr>
              <w:jc w:val="right"/>
              <w:rPr>
                <w:rFonts w:ascii="Abadi" w:hAnsi="Abadi" w:cstheme="minorHAnsi"/>
                <w:sz w:val="20"/>
                <w:szCs w:val="20"/>
                <w:lang w:val="es-ES_tradnl"/>
              </w:rPr>
            </w:pPr>
            <w:r w:rsidRPr="00C80F8E">
              <w:rPr>
                <w:rFonts w:ascii="Abadi" w:hAnsi="Abadi" w:cstheme="minorHAnsi"/>
                <w:sz w:val="20"/>
                <w:szCs w:val="20"/>
                <w:lang w:val="es-ES_tradnl"/>
              </w:rPr>
              <w:t>61,382.98</w:t>
            </w:r>
          </w:p>
        </w:tc>
      </w:tr>
      <w:tr w:rsidR="00A94151" w:rsidRPr="00C80F8E" w14:paraId="19A8C8AE" w14:textId="77777777" w:rsidTr="00B8209E">
        <w:tc>
          <w:tcPr>
            <w:tcW w:w="4891" w:type="dxa"/>
            <w:tcBorders>
              <w:top w:val="single" w:sz="4" w:space="0" w:color="auto"/>
              <w:left w:val="single" w:sz="4" w:space="0" w:color="auto"/>
              <w:bottom w:val="single" w:sz="4" w:space="0" w:color="auto"/>
              <w:right w:val="single" w:sz="4" w:space="0" w:color="auto"/>
            </w:tcBorders>
          </w:tcPr>
          <w:p w14:paraId="04E18E2E" w14:textId="74679DF4"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t>Productos y Útiles Varios</w:t>
            </w:r>
          </w:p>
        </w:tc>
        <w:tc>
          <w:tcPr>
            <w:tcW w:w="2268" w:type="dxa"/>
            <w:tcBorders>
              <w:top w:val="single" w:sz="4" w:space="0" w:color="auto"/>
              <w:left w:val="single" w:sz="4" w:space="0" w:color="auto"/>
              <w:bottom w:val="single" w:sz="4" w:space="0" w:color="auto"/>
              <w:right w:val="single" w:sz="4" w:space="0" w:color="auto"/>
            </w:tcBorders>
          </w:tcPr>
          <w:p w14:paraId="5C1837B4" w14:textId="02B6DF35" w:rsidR="00A94151" w:rsidRPr="00C80F8E" w:rsidRDefault="00326EE3"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1,665.22</w:t>
            </w:r>
          </w:p>
        </w:tc>
        <w:tc>
          <w:tcPr>
            <w:tcW w:w="2125" w:type="dxa"/>
            <w:tcBorders>
              <w:top w:val="single" w:sz="4" w:space="0" w:color="auto"/>
              <w:left w:val="single" w:sz="4" w:space="0" w:color="auto"/>
              <w:bottom w:val="single" w:sz="4" w:space="0" w:color="auto"/>
              <w:right w:val="single" w:sz="4" w:space="0" w:color="auto"/>
            </w:tcBorders>
          </w:tcPr>
          <w:p w14:paraId="281DC8B0" w14:textId="047A65D7" w:rsidR="00A94151" w:rsidRPr="00C80F8E" w:rsidRDefault="000B2E00" w:rsidP="00A94151">
            <w:pPr>
              <w:jc w:val="right"/>
              <w:rPr>
                <w:rFonts w:ascii="Abadi" w:hAnsi="Abadi" w:cstheme="minorHAnsi"/>
                <w:sz w:val="20"/>
                <w:szCs w:val="20"/>
                <w:lang w:val="es-ES_tradnl"/>
              </w:rPr>
            </w:pPr>
            <w:r w:rsidRPr="00C80F8E">
              <w:rPr>
                <w:rFonts w:ascii="Abadi" w:hAnsi="Abadi" w:cstheme="minorHAnsi"/>
                <w:sz w:val="20"/>
                <w:szCs w:val="20"/>
                <w:lang w:val="es-ES_tradnl"/>
              </w:rPr>
              <w:t>31,672.50</w:t>
            </w:r>
          </w:p>
        </w:tc>
      </w:tr>
      <w:tr w:rsidR="00A94151" w:rsidRPr="00C80F8E" w14:paraId="1DF79E4B" w14:textId="77777777" w:rsidTr="00B8209E">
        <w:tc>
          <w:tcPr>
            <w:tcW w:w="4891" w:type="dxa"/>
            <w:tcBorders>
              <w:top w:val="single" w:sz="4" w:space="0" w:color="auto"/>
              <w:left w:val="single" w:sz="4" w:space="0" w:color="auto"/>
              <w:bottom w:val="single" w:sz="4" w:space="0" w:color="auto"/>
              <w:right w:val="single" w:sz="4" w:space="0" w:color="auto"/>
            </w:tcBorders>
          </w:tcPr>
          <w:p w14:paraId="7B276C49" w14:textId="63F34902"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t xml:space="preserve">Productos y Útiles de Defensa y Seguridad </w:t>
            </w:r>
          </w:p>
        </w:tc>
        <w:tc>
          <w:tcPr>
            <w:tcW w:w="2268" w:type="dxa"/>
            <w:tcBorders>
              <w:top w:val="single" w:sz="4" w:space="0" w:color="auto"/>
              <w:left w:val="single" w:sz="4" w:space="0" w:color="auto"/>
              <w:bottom w:val="single" w:sz="4" w:space="0" w:color="auto"/>
              <w:right w:val="single" w:sz="4" w:space="0" w:color="auto"/>
            </w:tcBorders>
          </w:tcPr>
          <w:p w14:paraId="32722BC0" w14:textId="5C1FE4C7" w:rsidR="00A94151" w:rsidRPr="00C80F8E" w:rsidRDefault="00326EE3"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45,493.98</w:t>
            </w:r>
          </w:p>
        </w:tc>
        <w:tc>
          <w:tcPr>
            <w:tcW w:w="2125" w:type="dxa"/>
            <w:tcBorders>
              <w:top w:val="single" w:sz="4" w:space="0" w:color="auto"/>
              <w:left w:val="single" w:sz="4" w:space="0" w:color="auto"/>
              <w:bottom w:val="single" w:sz="4" w:space="0" w:color="auto"/>
              <w:right w:val="single" w:sz="4" w:space="0" w:color="auto"/>
            </w:tcBorders>
          </w:tcPr>
          <w:p w14:paraId="610528B5" w14:textId="7E50AE54" w:rsidR="00A94151" w:rsidRPr="00C80F8E" w:rsidRDefault="00B67B9D" w:rsidP="00A94151">
            <w:pPr>
              <w:jc w:val="right"/>
              <w:rPr>
                <w:rFonts w:ascii="Abadi" w:hAnsi="Abadi" w:cstheme="minorHAnsi"/>
                <w:sz w:val="20"/>
                <w:szCs w:val="20"/>
                <w:lang w:val="es-ES_tradnl"/>
              </w:rPr>
            </w:pPr>
            <w:r w:rsidRPr="00C80F8E">
              <w:rPr>
                <w:rFonts w:ascii="Abadi" w:hAnsi="Abadi" w:cstheme="minorHAnsi"/>
                <w:sz w:val="20"/>
                <w:szCs w:val="20"/>
                <w:lang w:val="es-ES_tradnl"/>
              </w:rPr>
              <w:t>2,360.00</w:t>
            </w:r>
          </w:p>
        </w:tc>
      </w:tr>
      <w:tr w:rsidR="00A94151" w:rsidRPr="00C80F8E" w14:paraId="562B7A1E" w14:textId="77777777" w:rsidTr="00B8209E">
        <w:tc>
          <w:tcPr>
            <w:tcW w:w="4891" w:type="dxa"/>
            <w:tcBorders>
              <w:top w:val="single" w:sz="4" w:space="0" w:color="auto"/>
              <w:left w:val="single" w:sz="4" w:space="0" w:color="auto"/>
              <w:bottom w:val="single" w:sz="4" w:space="0" w:color="auto"/>
              <w:right w:val="single" w:sz="4" w:space="0" w:color="auto"/>
            </w:tcBorders>
          </w:tcPr>
          <w:p w14:paraId="3F80645C" w14:textId="364ED400"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t>Piedra, Arcilla y Arena</w:t>
            </w:r>
          </w:p>
        </w:tc>
        <w:tc>
          <w:tcPr>
            <w:tcW w:w="2268" w:type="dxa"/>
            <w:tcBorders>
              <w:top w:val="single" w:sz="4" w:space="0" w:color="auto"/>
              <w:left w:val="single" w:sz="4" w:space="0" w:color="auto"/>
              <w:bottom w:val="single" w:sz="4" w:space="0" w:color="auto"/>
              <w:right w:val="nil"/>
            </w:tcBorders>
          </w:tcPr>
          <w:p w14:paraId="3B96F158" w14:textId="538B759C" w:rsidR="00A94151" w:rsidRPr="00C80F8E" w:rsidRDefault="00326EE3"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top w:val="single" w:sz="4" w:space="0" w:color="auto"/>
            </w:tcBorders>
          </w:tcPr>
          <w:p w14:paraId="28B5813B" w14:textId="22D5B4A0" w:rsidR="00A94151" w:rsidRPr="00C80F8E" w:rsidRDefault="00B67B9D" w:rsidP="00A94151">
            <w:pPr>
              <w:jc w:val="right"/>
              <w:rPr>
                <w:rFonts w:ascii="Abadi" w:hAnsi="Abadi" w:cstheme="minorHAnsi"/>
                <w:sz w:val="20"/>
                <w:szCs w:val="20"/>
                <w:lang w:val="es-ES_tradnl"/>
              </w:rPr>
            </w:pPr>
            <w:r w:rsidRPr="00C80F8E">
              <w:rPr>
                <w:rFonts w:ascii="Abadi" w:hAnsi="Abadi" w:cstheme="minorHAnsi"/>
                <w:sz w:val="20"/>
                <w:szCs w:val="20"/>
                <w:lang w:val="es-ES_tradnl"/>
              </w:rPr>
              <w:t>449.98</w:t>
            </w:r>
          </w:p>
        </w:tc>
      </w:tr>
      <w:tr w:rsidR="00A94151" w:rsidRPr="00C80F8E" w14:paraId="04DF5197" w14:textId="77777777" w:rsidTr="00A71DA6">
        <w:tc>
          <w:tcPr>
            <w:tcW w:w="4891" w:type="dxa"/>
            <w:tcBorders>
              <w:top w:val="single" w:sz="4" w:space="0" w:color="auto"/>
              <w:left w:val="single" w:sz="4" w:space="0" w:color="auto"/>
              <w:bottom w:val="single" w:sz="4" w:space="0" w:color="auto"/>
              <w:right w:val="single" w:sz="4" w:space="0" w:color="auto"/>
            </w:tcBorders>
          </w:tcPr>
          <w:p w14:paraId="5CF8A7E4" w14:textId="57FAE3D9"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t>Lozas</w:t>
            </w:r>
          </w:p>
        </w:tc>
        <w:tc>
          <w:tcPr>
            <w:tcW w:w="2268" w:type="dxa"/>
            <w:tcBorders>
              <w:top w:val="single" w:sz="4" w:space="0" w:color="auto"/>
              <w:left w:val="single" w:sz="4" w:space="0" w:color="auto"/>
              <w:bottom w:val="single" w:sz="4" w:space="0" w:color="auto"/>
              <w:right w:val="nil"/>
            </w:tcBorders>
          </w:tcPr>
          <w:p w14:paraId="4A4DAB3F" w14:textId="0A747F77" w:rsidR="00A94151" w:rsidRPr="00C80F8E" w:rsidRDefault="008C3D48"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Pr>
          <w:p w14:paraId="20AF6C6D" w14:textId="5FDC80FE" w:rsidR="00A94151" w:rsidRPr="00C80F8E" w:rsidRDefault="00B67B9D" w:rsidP="00A94151">
            <w:pPr>
              <w:jc w:val="right"/>
              <w:rPr>
                <w:rFonts w:ascii="Abadi" w:hAnsi="Abadi" w:cstheme="minorHAnsi"/>
                <w:sz w:val="20"/>
                <w:szCs w:val="20"/>
                <w:lang w:val="es-ES_tradnl"/>
              </w:rPr>
            </w:pPr>
            <w:r w:rsidRPr="00C80F8E">
              <w:rPr>
                <w:rFonts w:ascii="Abadi" w:hAnsi="Abadi" w:cstheme="minorHAnsi"/>
                <w:sz w:val="20"/>
                <w:szCs w:val="20"/>
                <w:lang w:val="es-ES_tradnl"/>
              </w:rPr>
              <w:t>35,400.00</w:t>
            </w:r>
          </w:p>
        </w:tc>
      </w:tr>
      <w:tr w:rsidR="00A94151" w:rsidRPr="00C80F8E" w14:paraId="3632D6D5" w14:textId="77777777" w:rsidTr="00A71DA6">
        <w:tc>
          <w:tcPr>
            <w:tcW w:w="4891" w:type="dxa"/>
            <w:tcBorders>
              <w:top w:val="single" w:sz="4" w:space="0" w:color="auto"/>
              <w:left w:val="single" w:sz="4" w:space="0" w:color="auto"/>
              <w:bottom w:val="single" w:sz="4" w:space="0" w:color="auto"/>
              <w:right w:val="single" w:sz="4" w:space="0" w:color="auto"/>
            </w:tcBorders>
          </w:tcPr>
          <w:p w14:paraId="0649C5FB" w14:textId="62202E08"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t>Otros Productos Químicos Conexos</w:t>
            </w:r>
          </w:p>
        </w:tc>
        <w:tc>
          <w:tcPr>
            <w:tcW w:w="2268" w:type="dxa"/>
            <w:tcBorders>
              <w:top w:val="single" w:sz="4" w:space="0" w:color="auto"/>
              <w:left w:val="single" w:sz="4" w:space="0" w:color="auto"/>
              <w:bottom w:val="single" w:sz="4" w:space="0" w:color="auto"/>
              <w:right w:val="nil"/>
            </w:tcBorders>
          </w:tcPr>
          <w:p w14:paraId="573CE388" w14:textId="7E541058" w:rsidR="00A94151" w:rsidRPr="00C80F8E" w:rsidRDefault="008C3D48"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2,594.00</w:t>
            </w:r>
          </w:p>
        </w:tc>
        <w:tc>
          <w:tcPr>
            <w:tcW w:w="2125" w:type="dxa"/>
          </w:tcPr>
          <w:p w14:paraId="55F1BED5" w14:textId="221757DB" w:rsidR="00A94151" w:rsidRPr="00C80F8E" w:rsidRDefault="008224B9" w:rsidP="00A94151">
            <w:pPr>
              <w:jc w:val="right"/>
              <w:rPr>
                <w:rFonts w:ascii="Abadi" w:hAnsi="Abadi" w:cstheme="minorHAnsi"/>
                <w:sz w:val="20"/>
                <w:szCs w:val="20"/>
                <w:lang w:val="es-ES_tradnl"/>
              </w:rPr>
            </w:pPr>
            <w:r w:rsidRPr="00C80F8E">
              <w:rPr>
                <w:rFonts w:ascii="Abadi" w:hAnsi="Abadi" w:cstheme="minorHAnsi"/>
                <w:sz w:val="20"/>
                <w:szCs w:val="20"/>
                <w:lang w:val="es-ES_tradnl"/>
              </w:rPr>
              <w:t>740.00</w:t>
            </w:r>
          </w:p>
        </w:tc>
      </w:tr>
      <w:tr w:rsidR="00A94151" w:rsidRPr="00C80F8E" w14:paraId="15F2259D" w14:textId="77777777" w:rsidTr="00A71DA6">
        <w:tc>
          <w:tcPr>
            <w:tcW w:w="4891" w:type="dxa"/>
            <w:tcBorders>
              <w:top w:val="single" w:sz="4" w:space="0" w:color="auto"/>
              <w:left w:val="single" w:sz="4" w:space="0" w:color="auto"/>
              <w:bottom w:val="single" w:sz="4" w:space="0" w:color="auto"/>
              <w:right w:val="single" w:sz="4" w:space="0" w:color="auto"/>
            </w:tcBorders>
          </w:tcPr>
          <w:p w14:paraId="576880F8" w14:textId="2895B966"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lastRenderedPageBreak/>
              <w:t>Accesorios</w:t>
            </w:r>
          </w:p>
        </w:tc>
        <w:tc>
          <w:tcPr>
            <w:tcW w:w="2268" w:type="dxa"/>
            <w:tcBorders>
              <w:top w:val="single" w:sz="4" w:space="0" w:color="auto"/>
              <w:left w:val="single" w:sz="4" w:space="0" w:color="auto"/>
              <w:bottom w:val="single" w:sz="4" w:space="0" w:color="auto"/>
              <w:right w:val="nil"/>
            </w:tcBorders>
          </w:tcPr>
          <w:p w14:paraId="5F2890E5" w14:textId="652584E9" w:rsidR="00A94151" w:rsidRPr="00C80F8E" w:rsidRDefault="008C3D48" w:rsidP="00A94151">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113,529.80</w:t>
            </w:r>
          </w:p>
        </w:tc>
        <w:tc>
          <w:tcPr>
            <w:tcW w:w="2125" w:type="dxa"/>
          </w:tcPr>
          <w:p w14:paraId="324B8320" w14:textId="49824A87" w:rsidR="00A94151" w:rsidRPr="00C80F8E" w:rsidRDefault="001B6ED9" w:rsidP="00A94151">
            <w:pPr>
              <w:jc w:val="right"/>
              <w:rPr>
                <w:rFonts w:ascii="Abadi" w:hAnsi="Abadi" w:cstheme="minorHAnsi"/>
                <w:sz w:val="20"/>
                <w:szCs w:val="20"/>
                <w:lang w:val="es-ES_tradnl"/>
              </w:rPr>
            </w:pPr>
            <w:r w:rsidRPr="00C80F8E">
              <w:rPr>
                <w:rFonts w:ascii="Abadi" w:hAnsi="Abadi" w:cstheme="minorHAnsi"/>
                <w:sz w:val="20"/>
                <w:szCs w:val="20"/>
                <w:lang w:val="es-ES_tradnl"/>
              </w:rPr>
              <w:t>371,514.36</w:t>
            </w:r>
          </w:p>
        </w:tc>
      </w:tr>
      <w:tr w:rsidR="00A94151" w:rsidRPr="00C80F8E" w14:paraId="0E2AF563" w14:textId="77777777" w:rsidTr="00F53175">
        <w:tc>
          <w:tcPr>
            <w:tcW w:w="4891" w:type="dxa"/>
            <w:tcBorders>
              <w:top w:val="single" w:sz="4" w:space="0" w:color="auto"/>
              <w:left w:val="single" w:sz="4" w:space="0" w:color="auto"/>
              <w:bottom w:val="single" w:sz="4" w:space="0" w:color="auto"/>
              <w:right w:val="single" w:sz="4" w:space="0" w:color="auto"/>
            </w:tcBorders>
          </w:tcPr>
          <w:p w14:paraId="0599BA5A" w14:textId="79DBFDE7" w:rsidR="00A94151" w:rsidRPr="00C80F8E" w:rsidRDefault="00A94151" w:rsidP="00A94151">
            <w:pPr>
              <w:rPr>
                <w:rFonts w:ascii="Abadi" w:hAnsi="Abadi" w:cstheme="minorHAnsi"/>
                <w:sz w:val="20"/>
                <w:szCs w:val="20"/>
                <w:lang w:val="es-ES_tradnl"/>
              </w:rPr>
            </w:pPr>
            <w:r w:rsidRPr="00C80F8E">
              <w:rPr>
                <w:rFonts w:ascii="Abadi" w:hAnsi="Abadi" w:cstheme="minorHAnsi"/>
                <w:color w:val="000000"/>
                <w:sz w:val="20"/>
                <w:szCs w:val="20"/>
                <w:lang w:val="es-ES_tradnl"/>
              </w:rPr>
              <w:t>Productos Útiles Diversos</w:t>
            </w:r>
          </w:p>
        </w:tc>
        <w:tc>
          <w:tcPr>
            <w:tcW w:w="2268" w:type="dxa"/>
            <w:tcBorders>
              <w:top w:val="single" w:sz="4" w:space="0" w:color="auto"/>
              <w:left w:val="single" w:sz="4" w:space="0" w:color="auto"/>
              <w:bottom w:val="single" w:sz="12" w:space="0" w:color="auto"/>
              <w:right w:val="nil"/>
            </w:tcBorders>
          </w:tcPr>
          <w:p w14:paraId="758EB8A7" w14:textId="35ED7F61" w:rsidR="00A94151" w:rsidRPr="00C80F8E" w:rsidRDefault="007E0521" w:rsidP="00A94151">
            <w:pPr>
              <w:tabs>
                <w:tab w:val="left" w:pos="696"/>
                <w:tab w:val="center" w:pos="954"/>
              </w:tabs>
              <w:jc w:val="right"/>
              <w:rPr>
                <w:rFonts w:ascii="Abadi" w:hAnsi="Abadi" w:cs="Arial"/>
                <w:color w:val="000000"/>
                <w:sz w:val="20"/>
                <w:szCs w:val="20"/>
                <w:lang w:val="es-ES_tradnl"/>
              </w:rPr>
            </w:pPr>
            <w:r w:rsidRPr="00C80F8E">
              <w:rPr>
                <w:rFonts w:ascii="Abadi" w:hAnsi="Abadi" w:cs="Arial"/>
                <w:color w:val="000000"/>
                <w:sz w:val="20"/>
                <w:szCs w:val="20"/>
                <w:lang w:val="es-ES_tradnl"/>
              </w:rPr>
              <w:t>274,562.95</w:t>
            </w:r>
          </w:p>
        </w:tc>
        <w:tc>
          <w:tcPr>
            <w:tcW w:w="2125" w:type="dxa"/>
            <w:tcBorders>
              <w:bottom w:val="single" w:sz="12" w:space="0" w:color="auto"/>
            </w:tcBorders>
          </w:tcPr>
          <w:p w14:paraId="7F4ED414" w14:textId="60A2771B" w:rsidR="00A94151" w:rsidRPr="00C80F8E" w:rsidRDefault="008224B9" w:rsidP="008103BC">
            <w:pPr>
              <w:tabs>
                <w:tab w:val="left" w:pos="696"/>
                <w:tab w:val="center" w:pos="954"/>
              </w:tabs>
              <w:jc w:val="right"/>
              <w:rPr>
                <w:rFonts w:ascii="Abadi" w:hAnsi="Abadi" w:cstheme="minorHAnsi"/>
                <w:sz w:val="20"/>
                <w:szCs w:val="20"/>
                <w:lang w:val="es-ES_tradnl"/>
              </w:rPr>
            </w:pPr>
            <w:r w:rsidRPr="00C80F8E">
              <w:rPr>
                <w:rFonts w:ascii="Abadi" w:hAnsi="Abadi" w:cstheme="minorHAnsi"/>
                <w:sz w:val="20"/>
                <w:szCs w:val="20"/>
                <w:lang w:val="es-ES_tradnl"/>
              </w:rPr>
              <w:t>51,039.72</w:t>
            </w:r>
          </w:p>
        </w:tc>
      </w:tr>
      <w:tr w:rsidR="006D2724" w:rsidRPr="00C80F8E" w14:paraId="10059280" w14:textId="77777777" w:rsidTr="00F53175">
        <w:tc>
          <w:tcPr>
            <w:tcW w:w="4891" w:type="dxa"/>
            <w:tcBorders>
              <w:top w:val="single" w:sz="4" w:space="0" w:color="auto"/>
            </w:tcBorders>
          </w:tcPr>
          <w:p w14:paraId="21147CA8" w14:textId="77777777" w:rsidR="006D2724" w:rsidRPr="00C80F8E" w:rsidRDefault="006D2724" w:rsidP="006D2724">
            <w:pPr>
              <w:jc w:val="right"/>
              <w:rPr>
                <w:rFonts w:ascii="Abadi" w:hAnsi="Abadi" w:cstheme="minorHAnsi"/>
                <w:sz w:val="20"/>
                <w:szCs w:val="20"/>
                <w:lang w:val="es-ES_tradnl"/>
              </w:rPr>
            </w:pPr>
            <w:r w:rsidRPr="00C80F8E">
              <w:rPr>
                <w:rFonts w:ascii="Abadi" w:hAnsi="Abadi" w:cstheme="minorHAnsi"/>
                <w:sz w:val="20"/>
                <w:szCs w:val="20"/>
                <w:lang w:val="es-ES_tradnl"/>
              </w:rPr>
              <w:t xml:space="preserve">Total </w:t>
            </w:r>
          </w:p>
        </w:tc>
        <w:tc>
          <w:tcPr>
            <w:tcW w:w="2268" w:type="dxa"/>
            <w:tcBorders>
              <w:top w:val="single" w:sz="12" w:space="0" w:color="auto"/>
              <w:bottom w:val="double" w:sz="4" w:space="0" w:color="auto"/>
            </w:tcBorders>
          </w:tcPr>
          <w:p w14:paraId="29FEFA85" w14:textId="5419666B" w:rsidR="006D2724" w:rsidRPr="00C80F8E" w:rsidRDefault="00682924" w:rsidP="006D2724">
            <w:pPr>
              <w:jc w:val="right"/>
              <w:rPr>
                <w:rFonts w:ascii="Abadi" w:hAnsi="Abadi" w:cstheme="minorHAnsi"/>
                <w:b/>
                <w:bCs/>
                <w:noProof/>
                <w:sz w:val="20"/>
                <w:szCs w:val="20"/>
                <w:lang w:val="es-ES_tradnl"/>
              </w:rPr>
            </w:pPr>
            <w:r w:rsidRPr="00C80F8E">
              <w:rPr>
                <w:rFonts w:ascii="Abadi" w:hAnsi="Abadi" w:cstheme="minorHAnsi"/>
                <w:b/>
                <w:bCs/>
                <w:noProof/>
                <w:sz w:val="20"/>
                <w:szCs w:val="20"/>
                <w:lang w:val="es-ES_tradnl"/>
              </w:rPr>
              <w:t>7,510,357.63</w:t>
            </w:r>
          </w:p>
        </w:tc>
        <w:tc>
          <w:tcPr>
            <w:tcW w:w="2125" w:type="dxa"/>
            <w:tcBorders>
              <w:top w:val="single" w:sz="12" w:space="0" w:color="auto"/>
              <w:bottom w:val="double" w:sz="4" w:space="0" w:color="auto"/>
            </w:tcBorders>
          </w:tcPr>
          <w:p w14:paraId="35DD90B7" w14:textId="6EE222A5" w:rsidR="006D2724" w:rsidRPr="00C80F8E" w:rsidRDefault="001B6ED9" w:rsidP="006D2724">
            <w:pPr>
              <w:jc w:val="right"/>
              <w:rPr>
                <w:rFonts w:ascii="Abadi" w:hAnsi="Abadi" w:cstheme="minorHAnsi"/>
                <w:b/>
                <w:bCs/>
                <w:sz w:val="20"/>
                <w:szCs w:val="20"/>
                <w:lang w:val="es-ES_tradnl"/>
              </w:rPr>
            </w:pPr>
            <w:r w:rsidRPr="00C80F8E">
              <w:rPr>
                <w:rFonts w:ascii="Abadi" w:hAnsi="Abadi" w:cstheme="minorHAnsi"/>
                <w:b/>
                <w:bCs/>
                <w:sz w:val="20"/>
                <w:szCs w:val="20"/>
                <w:lang w:val="es-ES_tradnl"/>
              </w:rPr>
              <w:t>6</w:t>
            </w:r>
            <w:r w:rsidR="005E7B61" w:rsidRPr="00C80F8E">
              <w:rPr>
                <w:rFonts w:ascii="Abadi" w:hAnsi="Abadi" w:cstheme="minorHAnsi"/>
                <w:b/>
                <w:bCs/>
                <w:sz w:val="20"/>
                <w:szCs w:val="20"/>
                <w:lang w:val="es-ES_tradnl"/>
              </w:rPr>
              <w:t>,</w:t>
            </w:r>
            <w:r w:rsidRPr="00C80F8E">
              <w:rPr>
                <w:rFonts w:ascii="Abadi" w:hAnsi="Abadi" w:cstheme="minorHAnsi"/>
                <w:b/>
                <w:bCs/>
                <w:sz w:val="20"/>
                <w:szCs w:val="20"/>
                <w:lang w:val="es-ES_tradnl"/>
              </w:rPr>
              <w:t>052</w:t>
            </w:r>
            <w:r w:rsidR="005E7B61" w:rsidRPr="00C80F8E">
              <w:rPr>
                <w:rFonts w:ascii="Abadi" w:hAnsi="Abadi" w:cstheme="minorHAnsi"/>
                <w:b/>
                <w:bCs/>
                <w:sz w:val="20"/>
                <w:szCs w:val="20"/>
                <w:lang w:val="es-ES_tradnl"/>
              </w:rPr>
              <w:t>,</w:t>
            </w:r>
            <w:r w:rsidRPr="00C80F8E">
              <w:rPr>
                <w:rFonts w:ascii="Abadi" w:hAnsi="Abadi" w:cstheme="minorHAnsi"/>
                <w:b/>
                <w:bCs/>
                <w:sz w:val="20"/>
                <w:szCs w:val="20"/>
                <w:lang w:val="es-ES_tradnl"/>
              </w:rPr>
              <w:t>203.61</w:t>
            </w:r>
          </w:p>
        </w:tc>
      </w:tr>
    </w:tbl>
    <w:p w14:paraId="12833C6A" w14:textId="77777777" w:rsidR="006C2D82" w:rsidRPr="00C80F8E" w:rsidRDefault="006C2D82" w:rsidP="00B572DB">
      <w:pPr>
        <w:rPr>
          <w:rFonts w:ascii="Abadi" w:hAnsi="Abadi" w:cstheme="minorHAnsi"/>
          <w:bCs/>
          <w:sz w:val="20"/>
          <w:szCs w:val="20"/>
          <w:lang w:val="es-ES_tradnl"/>
        </w:rPr>
      </w:pPr>
    </w:p>
    <w:p w14:paraId="535904D5" w14:textId="77777777" w:rsidR="003B1654" w:rsidRPr="00C80F8E" w:rsidRDefault="00AB2C42"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 xml:space="preserve">Gastos de </w:t>
      </w:r>
      <w:r w:rsidR="009C72D3" w:rsidRPr="00C80F8E">
        <w:rPr>
          <w:rFonts w:ascii="Abadi" w:hAnsi="Abadi" w:cstheme="minorHAnsi"/>
          <w:b/>
          <w:sz w:val="20"/>
          <w:szCs w:val="20"/>
          <w:lang w:val="es-ES_tradnl"/>
        </w:rPr>
        <w:t>activos</w:t>
      </w:r>
      <w:r w:rsidR="007058F3" w:rsidRPr="00C80F8E">
        <w:rPr>
          <w:rFonts w:ascii="Abadi" w:hAnsi="Abadi" w:cstheme="minorHAnsi"/>
          <w:b/>
          <w:sz w:val="20"/>
          <w:szCs w:val="20"/>
          <w:lang w:val="es-ES_tradnl"/>
        </w:rPr>
        <w:t xml:space="preserve"> no corrientes</w:t>
      </w:r>
      <w:r w:rsidR="009C72D3" w:rsidRPr="00C80F8E">
        <w:rPr>
          <w:rFonts w:ascii="Abadi" w:hAnsi="Abadi" w:cstheme="minorHAnsi"/>
          <w:b/>
          <w:sz w:val="20"/>
          <w:szCs w:val="20"/>
          <w:lang w:val="es-ES_tradnl"/>
        </w:rPr>
        <w:t xml:space="preserve">, </w:t>
      </w:r>
      <w:r w:rsidRPr="00C80F8E">
        <w:rPr>
          <w:rFonts w:ascii="Abadi" w:hAnsi="Abadi" w:cstheme="minorHAnsi"/>
          <w:b/>
          <w:sz w:val="20"/>
          <w:szCs w:val="20"/>
          <w:lang w:val="es-ES_tradnl"/>
        </w:rPr>
        <w:t xml:space="preserve">depreciación y amortización </w:t>
      </w:r>
    </w:p>
    <w:p w14:paraId="191B40DD" w14:textId="0BEEA5AD" w:rsidR="003B1654" w:rsidRPr="00C80F8E" w:rsidRDefault="00B333DB" w:rsidP="00E9031F">
      <w:pPr>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el total de los cargos por depreciación del inmovilizado ascendió a RD$6,499,760.55, en comparación con RD$6,062,428.67 registrados al 30 de junio de 2024. Esta diferencia representa un incremento absoluto de RD$437,331.88 y una variación relativa positiva de 7.21%.</w:t>
      </w:r>
      <w:r w:rsidR="003B1654" w:rsidRPr="00C80F8E">
        <w:rPr>
          <w:rFonts w:ascii="Abadi" w:hAnsi="Abadi" w:cstheme="minorHAnsi"/>
          <w:bCs/>
          <w:sz w:val="20"/>
          <w:szCs w:val="20"/>
          <w:lang w:val="es-ES_tradnl"/>
        </w:rPr>
        <w:t>es como sigue:</w:t>
      </w:r>
    </w:p>
    <w:tbl>
      <w:tblPr>
        <w:tblStyle w:val="Tablaconcuadrcula"/>
        <w:tblW w:w="0" w:type="auto"/>
        <w:tblInd w:w="66" w:type="dxa"/>
        <w:tblLook w:val="04A0" w:firstRow="1" w:lastRow="0" w:firstColumn="1" w:lastColumn="0" w:noHBand="0" w:noVBand="1"/>
      </w:tblPr>
      <w:tblGrid>
        <w:gridCol w:w="4891"/>
        <w:gridCol w:w="2268"/>
        <w:gridCol w:w="2125"/>
      </w:tblGrid>
      <w:tr w:rsidR="003B1654" w:rsidRPr="00C80F8E" w14:paraId="3AA95D0E" w14:textId="77777777" w:rsidTr="006C2D82">
        <w:tc>
          <w:tcPr>
            <w:tcW w:w="4891" w:type="dxa"/>
            <w:tcBorders>
              <w:bottom w:val="single" w:sz="4" w:space="0" w:color="auto"/>
            </w:tcBorders>
            <w:shd w:val="clear" w:color="auto" w:fill="0070C0"/>
          </w:tcPr>
          <w:p w14:paraId="45941DD3" w14:textId="77777777" w:rsidR="003B1654" w:rsidRPr="00C80F8E" w:rsidRDefault="003B1654" w:rsidP="00297694">
            <w:pPr>
              <w:jc w:val="center"/>
              <w:rPr>
                <w:rFonts w:ascii="Abadi" w:hAnsi="Abadi" w:cstheme="minorHAnsi"/>
                <w:b/>
                <w:bCs/>
                <w:color w:val="FFFFFF" w:themeColor="background1"/>
                <w:sz w:val="20"/>
                <w:szCs w:val="20"/>
                <w:lang w:val="es-ES_tradnl"/>
              </w:rPr>
            </w:pPr>
            <w:bookmarkStart w:id="56" w:name="_Hlk203411417"/>
            <w:r w:rsidRPr="00C80F8E">
              <w:rPr>
                <w:rFonts w:ascii="Abadi" w:hAnsi="Abadi" w:cstheme="minorHAnsi"/>
                <w:b/>
                <w:bCs/>
                <w:color w:val="FFFFFF" w:themeColor="background1"/>
                <w:sz w:val="20"/>
                <w:szCs w:val="20"/>
                <w:lang w:val="es-ES_tradnl"/>
              </w:rPr>
              <w:t>Descripción</w:t>
            </w:r>
          </w:p>
        </w:tc>
        <w:tc>
          <w:tcPr>
            <w:tcW w:w="2268" w:type="dxa"/>
            <w:tcBorders>
              <w:bottom w:val="single" w:sz="4" w:space="0" w:color="auto"/>
            </w:tcBorders>
            <w:shd w:val="clear" w:color="auto" w:fill="0070C0"/>
          </w:tcPr>
          <w:p w14:paraId="5E4902B0" w14:textId="7182FC56" w:rsidR="003B1654"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4220AA" w:rsidRPr="00C80F8E">
              <w:rPr>
                <w:rFonts w:ascii="Abadi" w:hAnsi="Abadi" w:cstheme="minorHAnsi"/>
                <w:b/>
                <w:bCs/>
                <w:color w:val="FFFFFF" w:themeColor="background1"/>
                <w:sz w:val="20"/>
                <w:szCs w:val="20"/>
                <w:lang w:val="es-ES_tradnl"/>
              </w:rPr>
              <w:t>5</w:t>
            </w:r>
          </w:p>
        </w:tc>
        <w:tc>
          <w:tcPr>
            <w:tcW w:w="2125" w:type="dxa"/>
            <w:shd w:val="clear" w:color="auto" w:fill="0070C0"/>
          </w:tcPr>
          <w:p w14:paraId="31F90E61" w14:textId="201BBC9E" w:rsidR="003B1654"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4220AA" w:rsidRPr="00C80F8E">
              <w:rPr>
                <w:rFonts w:ascii="Abadi" w:hAnsi="Abadi" w:cstheme="minorHAnsi"/>
                <w:b/>
                <w:bCs/>
                <w:color w:val="FFFFFF" w:themeColor="background1"/>
                <w:sz w:val="20"/>
                <w:szCs w:val="20"/>
                <w:lang w:val="es-ES_tradnl"/>
              </w:rPr>
              <w:t>4</w:t>
            </w:r>
          </w:p>
        </w:tc>
      </w:tr>
      <w:tr w:rsidR="00A42F41" w:rsidRPr="00C80F8E" w14:paraId="5180D363" w14:textId="77777777" w:rsidTr="00C21E3A">
        <w:tc>
          <w:tcPr>
            <w:tcW w:w="4891" w:type="dxa"/>
            <w:tcBorders>
              <w:top w:val="single" w:sz="4" w:space="0" w:color="auto"/>
              <w:left w:val="single" w:sz="4" w:space="0" w:color="auto"/>
              <w:bottom w:val="single" w:sz="4" w:space="0" w:color="auto"/>
              <w:right w:val="single" w:sz="4" w:space="0" w:color="auto"/>
            </w:tcBorders>
          </w:tcPr>
          <w:p w14:paraId="19802353" w14:textId="46C06A48"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Edificio</w:t>
            </w:r>
          </w:p>
        </w:tc>
        <w:tc>
          <w:tcPr>
            <w:tcW w:w="2268" w:type="dxa"/>
            <w:tcBorders>
              <w:top w:val="single" w:sz="4" w:space="0" w:color="auto"/>
              <w:left w:val="single" w:sz="4" w:space="0" w:color="auto"/>
              <w:bottom w:val="single" w:sz="4" w:space="0" w:color="auto"/>
              <w:right w:val="nil"/>
            </w:tcBorders>
          </w:tcPr>
          <w:p w14:paraId="63D7ED0F" w14:textId="18824C8D" w:rsidR="00A42F41" w:rsidRPr="00C80F8E" w:rsidRDefault="002B0DA1" w:rsidP="00A42F41">
            <w:pPr>
              <w:jc w:val="right"/>
              <w:rPr>
                <w:rFonts w:ascii="Abadi" w:hAnsi="Abadi" w:cstheme="minorHAnsi"/>
                <w:sz w:val="20"/>
                <w:szCs w:val="20"/>
                <w:lang w:val="es-ES_tradnl"/>
              </w:rPr>
            </w:pPr>
            <w:r w:rsidRPr="00C80F8E">
              <w:rPr>
                <w:rFonts w:ascii="Abadi" w:hAnsi="Abadi" w:cstheme="minorHAnsi"/>
                <w:sz w:val="20"/>
                <w:szCs w:val="20"/>
                <w:lang w:val="es-ES_tradnl"/>
              </w:rPr>
              <w:t>8</w:t>
            </w:r>
            <w:r w:rsidR="00121D29" w:rsidRPr="00C80F8E">
              <w:rPr>
                <w:rFonts w:ascii="Abadi" w:hAnsi="Abadi" w:cstheme="minorHAnsi"/>
                <w:sz w:val="20"/>
                <w:szCs w:val="20"/>
                <w:lang w:val="es-ES_tradnl"/>
              </w:rPr>
              <w:t>96,991.48</w:t>
            </w:r>
          </w:p>
        </w:tc>
        <w:tc>
          <w:tcPr>
            <w:tcW w:w="2125" w:type="dxa"/>
          </w:tcPr>
          <w:p w14:paraId="6DAE4458" w14:textId="2101AC75" w:rsidR="00A42F41" w:rsidRPr="00C80F8E" w:rsidRDefault="00FE635D" w:rsidP="00A42F41">
            <w:pPr>
              <w:jc w:val="right"/>
              <w:rPr>
                <w:rFonts w:ascii="Abadi" w:hAnsi="Abadi" w:cstheme="minorHAnsi"/>
                <w:sz w:val="20"/>
                <w:szCs w:val="20"/>
                <w:lang w:val="es-ES_tradnl"/>
              </w:rPr>
            </w:pPr>
            <w:r w:rsidRPr="00C80F8E">
              <w:rPr>
                <w:rFonts w:ascii="Abadi" w:hAnsi="Abadi" w:cstheme="minorHAnsi"/>
                <w:sz w:val="20"/>
                <w:szCs w:val="20"/>
                <w:lang w:val="es-ES_tradnl"/>
              </w:rPr>
              <w:t>870,178.32</w:t>
            </w:r>
          </w:p>
        </w:tc>
      </w:tr>
      <w:tr w:rsidR="00A42F41" w:rsidRPr="00C80F8E" w14:paraId="58E14C47" w14:textId="77777777" w:rsidTr="00C21E3A">
        <w:tc>
          <w:tcPr>
            <w:tcW w:w="4891" w:type="dxa"/>
            <w:tcBorders>
              <w:top w:val="single" w:sz="4" w:space="0" w:color="auto"/>
              <w:left w:val="single" w:sz="4" w:space="0" w:color="auto"/>
              <w:bottom w:val="single" w:sz="4" w:space="0" w:color="auto"/>
              <w:right w:val="single" w:sz="4" w:space="0" w:color="auto"/>
            </w:tcBorders>
          </w:tcPr>
          <w:p w14:paraId="6C4E453F" w14:textId="5EBA39C6"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Mobiliario y Equipos</w:t>
            </w:r>
          </w:p>
        </w:tc>
        <w:tc>
          <w:tcPr>
            <w:tcW w:w="2268" w:type="dxa"/>
            <w:tcBorders>
              <w:top w:val="single" w:sz="4" w:space="0" w:color="auto"/>
              <w:left w:val="single" w:sz="4" w:space="0" w:color="auto"/>
              <w:bottom w:val="single" w:sz="4" w:space="0" w:color="auto"/>
              <w:right w:val="nil"/>
            </w:tcBorders>
          </w:tcPr>
          <w:p w14:paraId="11C37AD3" w14:textId="46ADF731" w:rsidR="00A42F41" w:rsidRPr="00C80F8E" w:rsidRDefault="00121D29" w:rsidP="00A42F41">
            <w:pPr>
              <w:jc w:val="right"/>
              <w:rPr>
                <w:rFonts w:ascii="Abadi" w:hAnsi="Abadi" w:cstheme="minorHAnsi"/>
                <w:sz w:val="20"/>
                <w:szCs w:val="20"/>
                <w:lang w:val="es-ES_tradnl"/>
              </w:rPr>
            </w:pPr>
            <w:r w:rsidRPr="00C80F8E">
              <w:rPr>
                <w:rFonts w:ascii="Abadi" w:hAnsi="Abadi" w:cstheme="minorHAnsi"/>
                <w:sz w:val="20"/>
                <w:szCs w:val="20"/>
                <w:lang w:val="es-ES_tradnl"/>
              </w:rPr>
              <w:t>522,928.65</w:t>
            </w:r>
          </w:p>
        </w:tc>
        <w:tc>
          <w:tcPr>
            <w:tcW w:w="2125" w:type="dxa"/>
          </w:tcPr>
          <w:p w14:paraId="134BAABA" w14:textId="0485AF3B" w:rsidR="00A42F41" w:rsidRPr="00C80F8E" w:rsidRDefault="00F5401B" w:rsidP="00A42F41">
            <w:pPr>
              <w:jc w:val="right"/>
              <w:rPr>
                <w:rFonts w:ascii="Abadi" w:hAnsi="Abadi" w:cstheme="minorHAnsi"/>
                <w:sz w:val="20"/>
                <w:szCs w:val="20"/>
                <w:lang w:val="es-ES_tradnl"/>
              </w:rPr>
            </w:pPr>
            <w:r w:rsidRPr="00C80F8E">
              <w:rPr>
                <w:rFonts w:ascii="Abadi" w:hAnsi="Abadi" w:cstheme="minorHAnsi"/>
                <w:sz w:val="20"/>
                <w:szCs w:val="20"/>
                <w:lang w:val="es-ES_tradnl"/>
              </w:rPr>
              <w:t>495,564.34</w:t>
            </w:r>
          </w:p>
        </w:tc>
      </w:tr>
      <w:tr w:rsidR="00A42F41" w:rsidRPr="00C80F8E" w14:paraId="5EAE5FF1" w14:textId="77777777" w:rsidTr="00C21E3A">
        <w:tc>
          <w:tcPr>
            <w:tcW w:w="4891" w:type="dxa"/>
            <w:tcBorders>
              <w:top w:val="single" w:sz="4" w:space="0" w:color="auto"/>
              <w:left w:val="single" w:sz="4" w:space="0" w:color="auto"/>
              <w:bottom w:val="single" w:sz="4" w:space="0" w:color="auto"/>
              <w:right w:val="single" w:sz="4" w:space="0" w:color="auto"/>
            </w:tcBorders>
          </w:tcPr>
          <w:p w14:paraId="4ABB9A8F" w14:textId="2947572B"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Equipo de Transporte</w:t>
            </w:r>
          </w:p>
        </w:tc>
        <w:tc>
          <w:tcPr>
            <w:tcW w:w="2268" w:type="dxa"/>
            <w:tcBorders>
              <w:top w:val="single" w:sz="4" w:space="0" w:color="auto"/>
              <w:left w:val="single" w:sz="4" w:space="0" w:color="auto"/>
              <w:bottom w:val="single" w:sz="4" w:space="0" w:color="auto"/>
              <w:right w:val="nil"/>
            </w:tcBorders>
          </w:tcPr>
          <w:p w14:paraId="1A25360B" w14:textId="2E32F105" w:rsidR="00A42F41" w:rsidRPr="00C80F8E" w:rsidRDefault="00F93DE8" w:rsidP="00A42F41">
            <w:pPr>
              <w:jc w:val="right"/>
              <w:rPr>
                <w:rFonts w:ascii="Abadi" w:hAnsi="Abadi" w:cstheme="minorHAnsi"/>
                <w:sz w:val="20"/>
                <w:szCs w:val="20"/>
                <w:lang w:val="es-ES_tradnl"/>
              </w:rPr>
            </w:pPr>
            <w:r w:rsidRPr="00C80F8E">
              <w:rPr>
                <w:rFonts w:ascii="Abadi" w:hAnsi="Abadi" w:cstheme="minorHAnsi"/>
                <w:sz w:val="20"/>
                <w:szCs w:val="20"/>
                <w:lang w:val="es-ES_tradnl"/>
              </w:rPr>
              <w:t>142,434.00</w:t>
            </w:r>
          </w:p>
        </w:tc>
        <w:tc>
          <w:tcPr>
            <w:tcW w:w="2125" w:type="dxa"/>
          </w:tcPr>
          <w:p w14:paraId="20971286" w14:textId="4D50FC9A" w:rsidR="00A42F41" w:rsidRPr="00C80F8E" w:rsidRDefault="00C3018A" w:rsidP="00A42F41">
            <w:pPr>
              <w:jc w:val="right"/>
              <w:rPr>
                <w:rFonts w:ascii="Abadi" w:hAnsi="Abadi" w:cstheme="minorHAnsi"/>
                <w:sz w:val="20"/>
                <w:szCs w:val="20"/>
                <w:lang w:val="es-ES_tradnl"/>
              </w:rPr>
            </w:pPr>
            <w:r w:rsidRPr="00C80F8E">
              <w:rPr>
                <w:rFonts w:ascii="Abadi" w:hAnsi="Abadi" w:cstheme="minorHAnsi"/>
                <w:sz w:val="20"/>
                <w:szCs w:val="20"/>
                <w:lang w:val="es-ES_tradnl"/>
              </w:rPr>
              <w:t>213,651.00</w:t>
            </w:r>
          </w:p>
        </w:tc>
      </w:tr>
      <w:tr w:rsidR="00A42F41" w:rsidRPr="00C80F8E" w14:paraId="441E8104" w14:textId="77777777" w:rsidTr="00C21E3A">
        <w:tc>
          <w:tcPr>
            <w:tcW w:w="4891" w:type="dxa"/>
            <w:tcBorders>
              <w:top w:val="single" w:sz="4" w:space="0" w:color="auto"/>
              <w:left w:val="single" w:sz="4" w:space="0" w:color="auto"/>
              <w:bottom w:val="single" w:sz="4" w:space="0" w:color="auto"/>
              <w:right w:val="single" w:sz="4" w:space="0" w:color="auto"/>
            </w:tcBorders>
          </w:tcPr>
          <w:p w14:paraId="1CCF6102" w14:textId="2DC11F5A"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Equipos de Cómputos</w:t>
            </w:r>
          </w:p>
        </w:tc>
        <w:tc>
          <w:tcPr>
            <w:tcW w:w="2268" w:type="dxa"/>
            <w:tcBorders>
              <w:top w:val="single" w:sz="4" w:space="0" w:color="auto"/>
              <w:left w:val="single" w:sz="4" w:space="0" w:color="auto"/>
              <w:bottom w:val="single" w:sz="4" w:space="0" w:color="auto"/>
              <w:right w:val="nil"/>
            </w:tcBorders>
          </w:tcPr>
          <w:p w14:paraId="5AC94119" w14:textId="444F04A3" w:rsidR="00A42F41" w:rsidRPr="00C80F8E" w:rsidRDefault="00B94442" w:rsidP="00A42F41">
            <w:pPr>
              <w:jc w:val="right"/>
              <w:rPr>
                <w:rFonts w:ascii="Abadi" w:hAnsi="Abadi" w:cstheme="minorHAnsi"/>
                <w:sz w:val="20"/>
                <w:szCs w:val="20"/>
                <w:lang w:val="es-ES_tradnl"/>
              </w:rPr>
            </w:pPr>
            <w:r w:rsidRPr="00C80F8E">
              <w:rPr>
                <w:rFonts w:ascii="Abadi" w:hAnsi="Abadi" w:cstheme="minorHAnsi"/>
                <w:sz w:val="20"/>
                <w:szCs w:val="20"/>
                <w:lang w:val="es-ES_tradnl"/>
              </w:rPr>
              <w:t>3,992,373.40</w:t>
            </w:r>
          </w:p>
        </w:tc>
        <w:tc>
          <w:tcPr>
            <w:tcW w:w="2125" w:type="dxa"/>
          </w:tcPr>
          <w:p w14:paraId="75D33ED6" w14:textId="20A44ABD" w:rsidR="00A42F41" w:rsidRPr="00C80F8E" w:rsidRDefault="00E44416" w:rsidP="00A42F41">
            <w:pPr>
              <w:jc w:val="right"/>
              <w:rPr>
                <w:rFonts w:ascii="Abadi" w:hAnsi="Abadi" w:cstheme="minorHAnsi"/>
                <w:sz w:val="20"/>
                <w:szCs w:val="20"/>
                <w:lang w:val="es-ES_tradnl"/>
              </w:rPr>
            </w:pPr>
            <w:r w:rsidRPr="00C80F8E">
              <w:rPr>
                <w:rFonts w:ascii="Abadi" w:hAnsi="Abadi" w:cstheme="minorHAnsi"/>
                <w:sz w:val="20"/>
                <w:szCs w:val="20"/>
                <w:lang w:val="es-ES_tradnl"/>
              </w:rPr>
              <w:t>3,647,207.80</w:t>
            </w:r>
          </w:p>
        </w:tc>
      </w:tr>
      <w:tr w:rsidR="00A42F41" w:rsidRPr="00C80F8E" w14:paraId="3C3B3803" w14:textId="77777777" w:rsidTr="00C21E3A">
        <w:tc>
          <w:tcPr>
            <w:tcW w:w="4891" w:type="dxa"/>
            <w:tcBorders>
              <w:top w:val="single" w:sz="4" w:space="0" w:color="auto"/>
              <w:left w:val="single" w:sz="4" w:space="0" w:color="auto"/>
              <w:bottom w:val="single" w:sz="4" w:space="0" w:color="auto"/>
              <w:right w:val="single" w:sz="4" w:space="0" w:color="auto"/>
            </w:tcBorders>
          </w:tcPr>
          <w:p w14:paraId="5D1A9C31" w14:textId="495EE71C"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Equipo Militar y de Seguridad</w:t>
            </w:r>
          </w:p>
        </w:tc>
        <w:tc>
          <w:tcPr>
            <w:tcW w:w="2268" w:type="dxa"/>
            <w:tcBorders>
              <w:top w:val="single" w:sz="4" w:space="0" w:color="auto"/>
              <w:left w:val="single" w:sz="4" w:space="0" w:color="auto"/>
              <w:bottom w:val="single" w:sz="4" w:space="0" w:color="auto"/>
              <w:right w:val="nil"/>
            </w:tcBorders>
          </w:tcPr>
          <w:p w14:paraId="60E6F6BD" w14:textId="4C548EDD" w:rsidR="00A42F41" w:rsidRPr="00C80F8E" w:rsidRDefault="00EB60C9" w:rsidP="00A42F41">
            <w:pPr>
              <w:jc w:val="right"/>
              <w:rPr>
                <w:rFonts w:ascii="Abadi" w:hAnsi="Abadi" w:cstheme="minorHAnsi"/>
                <w:sz w:val="20"/>
                <w:szCs w:val="20"/>
                <w:lang w:val="es-ES_tradnl"/>
              </w:rPr>
            </w:pPr>
            <w:r w:rsidRPr="00C80F8E">
              <w:rPr>
                <w:rFonts w:ascii="Abadi" w:hAnsi="Abadi" w:cstheme="minorHAnsi"/>
                <w:sz w:val="20"/>
                <w:szCs w:val="20"/>
                <w:lang w:val="es-ES_tradnl"/>
              </w:rPr>
              <w:t>100</w:t>
            </w:r>
            <w:r w:rsidR="008820D4" w:rsidRPr="00C80F8E">
              <w:rPr>
                <w:rFonts w:ascii="Abadi" w:hAnsi="Abadi" w:cstheme="minorHAnsi"/>
                <w:sz w:val="20"/>
                <w:szCs w:val="20"/>
                <w:lang w:val="es-ES_tradnl"/>
              </w:rPr>
              <w:t>,162.20</w:t>
            </w:r>
          </w:p>
        </w:tc>
        <w:tc>
          <w:tcPr>
            <w:tcW w:w="2125" w:type="dxa"/>
          </w:tcPr>
          <w:p w14:paraId="1794A2EE" w14:textId="4128B4A5" w:rsidR="00A42F41" w:rsidRPr="00C80F8E" w:rsidRDefault="00E44416" w:rsidP="00A42F41">
            <w:pPr>
              <w:jc w:val="right"/>
              <w:rPr>
                <w:rFonts w:ascii="Abadi" w:hAnsi="Abadi" w:cstheme="minorHAnsi"/>
                <w:sz w:val="20"/>
                <w:szCs w:val="20"/>
                <w:lang w:val="es-ES_tradnl"/>
              </w:rPr>
            </w:pPr>
            <w:r w:rsidRPr="00C80F8E">
              <w:rPr>
                <w:rFonts w:ascii="Abadi" w:hAnsi="Abadi" w:cstheme="minorHAnsi"/>
                <w:sz w:val="20"/>
                <w:szCs w:val="20"/>
                <w:lang w:val="es-ES_tradnl"/>
              </w:rPr>
              <w:t>100,162.20</w:t>
            </w:r>
          </w:p>
        </w:tc>
      </w:tr>
      <w:tr w:rsidR="00A42F41" w:rsidRPr="00C80F8E" w14:paraId="297B8131" w14:textId="77777777" w:rsidTr="00C21E3A">
        <w:tc>
          <w:tcPr>
            <w:tcW w:w="4891" w:type="dxa"/>
            <w:tcBorders>
              <w:top w:val="single" w:sz="4" w:space="0" w:color="auto"/>
              <w:left w:val="single" w:sz="4" w:space="0" w:color="auto"/>
              <w:bottom w:val="single" w:sz="4" w:space="0" w:color="auto"/>
              <w:right w:val="single" w:sz="4" w:space="0" w:color="auto"/>
            </w:tcBorders>
          </w:tcPr>
          <w:p w14:paraId="3A9C009F" w14:textId="58D5064C"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Equipo de Comunicación y Señalamiento</w:t>
            </w:r>
          </w:p>
        </w:tc>
        <w:tc>
          <w:tcPr>
            <w:tcW w:w="2268" w:type="dxa"/>
            <w:tcBorders>
              <w:top w:val="single" w:sz="4" w:space="0" w:color="auto"/>
              <w:left w:val="single" w:sz="4" w:space="0" w:color="auto"/>
              <w:bottom w:val="single" w:sz="4" w:space="0" w:color="auto"/>
              <w:right w:val="nil"/>
            </w:tcBorders>
          </w:tcPr>
          <w:p w14:paraId="0DD0A25D" w14:textId="20C9110E" w:rsidR="00A42F41" w:rsidRPr="00C80F8E" w:rsidRDefault="008820D4" w:rsidP="00A42F41">
            <w:pPr>
              <w:jc w:val="right"/>
              <w:rPr>
                <w:rFonts w:ascii="Abadi" w:hAnsi="Abadi" w:cstheme="minorHAnsi"/>
                <w:sz w:val="20"/>
                <w:szCs w:val="20"/>
                <w:lang w:val="es-ES_tradnl"/>
              </w:rPr>
            </w:pPr>
            <w:r w:rsidRPr="00C80F8E">
              <w:rPr>
                <w:rFonts w:ascii="Abadi" w:hAnsi="Abadi" w:cstheme="minorHAnsi"/>
                <w:sz w:val="20"/>
                <w:szCs w:val="20"/>
                <w:lang w:val="es-ES_tradnl"/>
              </w:rPr>
              <w:t>14,145.30</w:t>
            </w:r>
          </w:p>
        </w:tc>
        <w:tc>
          <w:tcPr>
            <w:tcW w:w="2125" w:type="dxa"/>
          </w:tcPr>
          <w:p w14:paraId="17F19205" w14:textId="6613A5CA" w:rsidR="00A42F41" w:rsidRPr="00C80F8E" w:rsidRDefault="00061975" w:rsidP="00A42F41">
            <w:pPr>
              <w:jc w:val="right"/>
              <w:rPr>
                <w:rFonts w:ascii="Abadi" w:hAnsi="Abadi" w:cstheme="minorHAnsi"/>
                <w:sz w:val="20"/>
                <w:szCs w:val="20"/>
                <w:lang w:val="es-ES_tradnl"/>
              </w:rPr>
            </w:pPr>
            <w:r w:rsidRPr="00C80F8E">
              <w:rPr>
                <w:rFonts w:ascii="Abadi" w:hAnsi="Abadi" w:cstheme="minorHAnsi"/>
                <w:sz w:val="20"/>
                <w:szCs w:val="20"/>
                <w:lang w:val="es-ES_tradnl"/>
              </w:rPr>
              <w:t>7,072.65</w:t>
            </w:r>
          </w:p>
        </w:tc>
      </w:tr>
      <w:tr w:rsidR="00A42F41" w:rsidRPr="00C80F8E" w14:paraId="0E5A7439" w14:textId="77777777" w:rsidTr="00C21E3A">
        <w:tc>
          <w:tcPr>
            <w:tcW w:w="4891" w:type="dxa"/>
            <w:tcBorders>
              <w:top w:val="single" w:sz="4" w:space="0" w:color="auto"/>
              <w:left w:val="single" w:sz="4" w:space="0" w:color="auto"/>
              <w:bottom w:val="single" w:sz="4" w:space="0" w:color="auto"/>
              <w:right w:val="single" w:sz="4" w:space="0" w:color="auto"/>
            </w:tcBorders>
          </w:tcPr>
          <w:p w14:paraId="1BCB5518" w14:textId="7F5F6560"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Equipos Varios</w:t>
            </w:r>
          </w:p>
        </w:tc>
        <w:tc>
          <w:tcPr>
            <w:tcW w:w="2268" w:type="dxa"/>
            <w:tcBorders>
              <w:top w:val="single" w:sz="4" w:space="0" w:color="auto"/>
              <w:left w:val="single" w:sz="4" w:space="0" w:color="auto"/>
              <w:bottom w:val="single" w:sz="4" w:space="0" w:color="auto"/>
              <w:right w:val="nil"/>
            </w:tcBorders>
          </w:tcPr>
          <w:p w14:paraId="628C43BF" w14:textId="33CE247E" w:rsidR="00A42F41" w:rsidRPr="00C80F8E" w:rsidRDefault="008820D4" w:rsidP="00A42F41">
            <w:pPr>
              <w:jc w:val="right"/>
              <w:rPr>
                <w:rFonts w:ascii="Abadi" w:hAnsi="Abadi" w:cstheme="minorHAnsi"/>
                <w:sz w:val="20"/>
                <w:szCs w:val="20"/>
                <w:lang w:val="es-ES_tradnl"/>
              </w:rPr>
            </w:pPr>
            <w:r w:rsidRPr="00C80F8E">
              <w:rPr>
                <w:rFonts w:ascii="Abadi" w:hAnsi="Abadi" w:cstheme="minorHAnsi"/>
                <w:sz w:val="20"/>
                <w:szCs w:val="20"/>
                <w:lang w:val="es-ES_tradnl"/>
              </w:rPr>
              <w:t>27</w:t>
            </w:r>
            <w:r w:rsidR="00D7176D" w:rsidRPr="00C80F8E">
              <w:rPr>
                <w:rFonts w:ascii="Abadi" w:hAnsi="Abadi" w:cstheme="minorHAnsi"/>
                <w:sz w:val="20"/>
                <w:szCs w:val="20"/>
                <w:lang w:val="es-ES_tradnl"/>
              </w:rPr>
              <w:t>,362.10</w:t>
            </w:r>
          </w:p>
        </w:tc>
        <w:tc>
          <w:tcPr>
            <w:tcW w:w="2125" w:type="dxa"/>
          </w:tcPr>
          <w:p w14:paraId="3A0FE1E9" w14:textId="4F0CC917" w:rsidR="00A42F41" w:rsidRPr="00C80F8E" w:rsidRDefault="00061975" w:rsidP="00A42F41">
            <w:pPr>
              <w:jc w:val="right"/>
              <w:rPr>
                <w:rFonts w:ascii="Abadi" w:hAnsi="Abadi" w:cstheme="minorHAnsi"/>
                <w:sz w:val="20"/>
                <w:szCs w:val="20"/>
                <w:lang w:val="es-ES_tradnl"/>
              </w:rPr>
            </w:pPr>
            <w:r w:rsidRPr="00C80F8E">
              <w:rPr>
                <w:rFonts w:ascii="Abadi" w:hAnsi="Abadi" w:cstheme="minorHAnsi"/>
                <w:sz w:val="20"/>
                <w:szCs w:val="20"/>
                <w:lang w:val="es-ES_tradnl"/>
              </w:rPr>
              <w:t>27,364.62</w:t>
            </w:r>
          </w:p>
        </w:tc>
      </w:tr>
      <w:tr w:rsidR="00A42F41" w:rsidRPr="00C80F8E" w14:paraId="4001E253" w14:textId="77777777" w:rsidTr="00C21E3A">
        <w:tc>
          <w:tcPr>
            <w:tcW w:w="4891" w:type="dxa"/>
            <w:tcBorders>
              <w:top w:val="single" w:sz="4" w:space="0" w:color="auto"/>
              <w:left w:val="single" w:sz="4" w:space="0" w:color="auto"/>
              <w:bottom w:val="single" w:sz="4" w:space="0" w:color="auto"/>
              <w:right w:val="single" w:sz="4" w:space="0" w:color="auto"/>
            </w:tcBorders>
          </w:tcPr>
          <w:p w14:paraId="46699E6B" w14:textId="09C116EE"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Equipos de Televisión</w:t>
            </w:r>
          </w:p>
        </w:tc>
        <w:tc>
          <w:tcPr>
            <w:tcW w:w="2268" w:type="dxa"/>
            <w:tcBorders>
              <w:top w:val="single" w:sz="4" w:space="0" w:color="auto"/>
              <w:left w:val="single" w:sz="4" w:space="0" w:color="auto"/>
              <w:bottom w:val="single" w:sz="4" w:space="0" w:color="auto"/>
              <w:right w:val="nil"/>
            </w:tcBorders>
          </w:tcPr>
          <w:p w14:paraId="5CEF51ED" w14:textId="3ED0A7A8" w:rsidR="00A42F41" w:rsidRPr="00C80F8E" w:rsidRDefault="001D4AB5" w:rsidP="00A42F41">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Pr>
          <w:p w14:paraId="6426CFE1" w14:textId="5428892B" w:rsidR="00A42F41" w:rsidRPr="00C80F8E" w:rsidRDefault="00061975" w:rsidP="00A42F41">
            <w:pPr>
              <w:jc w:val="right"/>
              <w:rPr>
                <w:rFonts w:ascii="Abadi" w:hAnsi="Abadi" w:cstheme="minorHAnsi"/>
                <w:sz w:val="20"/>
                <w:szCs w:val="20"/>
                <w:lang w:val="es-ES_tradnl"/>
              </w:rPr>
            </w:pPr>
            <w:r w:rsidRPr="00C80F8E">
              <w:rPr>
                <w:rFonts w:ascii="Abadi" w:hAnsi="Abadi" w:cstheme="minorHAnsi"/>
                <w:sz w:val="20"/>
                <w:szCs w:val="20"/>
                <w:lang w:val="es-ES_tradnl"/>
              </w:rPr>
              <w:t>2,399.48</w:t>
            </w:r>
          </w:p>
        </w:tc>
      </w:tr>
      <w:tr w:rsidR="00A42F41" w:rsidRPr="00C80F8E" w14:paraId="3A11790F" w14:textId="77777777" w:rsidTr="00C21E3A">
        <w:tc>
          <w:tcPr>
            <w:tcW w:w="4891" w:type="dxa"/>
            <w:tcBorders>
              <w:top w:val="single" w:sz="4" w:space="0" w:color="auto"/>
              <w:left w:val="single" w:sz="4" w:space="0" w:color="auto"/>
              <w:bottom w:val="single" w:sz="4" w:space="0" w:color="auto"/>
              <w:right w:val="single" w:sz="4" w:space="0" w:color="auto"/>
            </w:tcBorders>
          </w:tcPr>
          <w:p w14:paraId="46FB4858" w14:textId="4F995019"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Radios Receptores</w:t>
            </w:r>
          </w:p>
        </w:tc>
        <w:tc>
          <w:tcPr>
            <w:tcW w:w="2268" w:type="dxa"/>
            <w:tcBorders>
              <w:top w:val="single" w:sz="4" w:space="0" w:color="auto"/>
              <w:left w:val="single" w:sz="4" w:space="0" w:color="auto"/>
              <w:bottom w:val="single" w:sz="4" w:space="0" w:color="auto"/>
              <w:right w:val="nil"/>
            </w:tcBorders>
          </w:tcPr>
          <w:p w14:paraId="31133628" w14:textId="1AAA7EE9" w:rsidR="00A42F41" w:rsidRPr="00C80F8E" w:rsidRDefault="00DA421C" w:rsidP="00A42F41">
            <w:pPr>
              <w:jc w:val="right"/>
              <w:rPr>
                <w:rFonts w:ascii="Abadi" w:hAnsi="Abadi" w:cstheme="minorHAnsi"/>
                <w:sz w:val="20"/>
                <w:szCs w:val="20"/>
                <w:lang w:val="es-ES_tradnl"/>
              </w:rPr>
            </w:pPr>
            <w:r w:rsidRPr="00C80F8E">
              <w:rPr>
                <w:rFonts w:ascii="Abadi" w:hAnsi="Abadi" w:cstheme="minorHAnsi"/>
                <w:sz w:val="20"/>
                <w:szCs w:val="20"/>
                <w:lang w:val="es-ES_tradnl"/>
              </w:rPr>
              <w:t>19,411.14</w:t>
            </w:r>
          </w:p>
        </w:tc>
        <w:tc>
          <w:tcPr>
            <w:tcW w:w="2125" w:type="dxa"/>
          </w:tcPr>
          <w:p w14:paraId="49115C5F" w14:textId="22B3AA68" w:rsidR="00A42F41" w:rsidRPr="00C80F8E" w:rsidRDefault="00061975" w:rsidP="00A42F41">
            <w:pPr>
              <w:jc w:val="right"/>
              <w:rPr>
                <w:rFonts w:ascii="Abadi" w:hAnsi="Abadi" w:cstheme="minorHAnsi"/>
                <w:sz w:val="20"/>
                <w:szCs w:val="20"/>
                <w:lang w:val="es-ES_tradnl"/>
              </w:rPr>
            </w:pPr>
            <w:r w:rsidRPr="00C80F8E">
              <w:rPr>
                <w:rFonts w:ascii="Abadi" w:hAnsi="Abadi" w:cstheme="minorHAnsi"/>
                <w:sz w:val="20"/>
                <w:szCs w:val="20"/>
                <w:lang w:val="es-ES_tradnl"/>
              </w:rPr>
              <w:t>19,411.14</w:t>
            </w:r>
          </w:p>
        </w:tc>
      </w:tr>
      <w:tr w:rsidR="00A42F41" w:rsidRPr="00C80F8E" w14:paraId="6C25A149" w14:textId="77777777" w:rsidTr="00C21E3A">
        <w:tc>
          <w:tcPr>
            <w:tcW w:w="4891" w:type="dxa"/>
            <w:tcBorders>
              <w:top w:val="single" w:sz="4" w:space="0" w:color="auto"/>
              <w:left w:val="single" w:sz="4" w:space="0" w:color="auto"/>
              <w:bottom w:val="single" w:sz="4" w:space="0" w:color="auto"/>
              <w:right w:val="single" w:sz="4" w:space="0" w:color="auto"/>
            </w:tcBorders>
          </w:tcPr>
          <w:p w14:paraId="03938DB5" w14:textId="47A2AC4B"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Depreciación </w:t>
            </w:r>
            <w:proofErr w:type="spellStart"/>
            <w:r w:rsidRPr="00C80F8E">
              <w:rPr>
                <w:rFonts w:ascii="Abadi" w:hAnsi="Abadi" w:cstheme="minorHAnsi"/>
                <w:color w:val="000000"/>
                <w:sz w:val="20"/>
                <w:szCs w:val="20"/>
                <w:lang w:val="es-ES_tradnl"/>
              </w:rPr>
              <w:t>Sist</w:t>
            </w:r>
            <w:proofErr w:type="spellEnd"/>
            <w:r w:rsidRPr="00C80F8E">
              <w:rPr>
                <w:rFonts w:ascii="Abadi" w:hAnsi="Abadi" w:cstheme="minorHAnsi"/>
                <w:color w:val="000000"/>
                <w:sz w:val="20"/>
                <w:szCs w:val="20"/>
                <w:lang w:val="es-ES_tradnl"/>
              </w:rPr>
              <w:t xml:space="preserve">. Aire </w:t>
            </w:r>
            <w:proofErr w:type="spellStart"/>
            <w:r w:rsidRPr="00C80F8E">
              <w:rPr>
                <w:rFonts w:ascii="Abadi" w:hAnsi="Abadi" w:cstheme="minorHAnsi"/>
                <w:color w:val="000000"/>
                <w:sz w:val="20"/>
                <w:szCs w:val="20"/>
                <w:lang w:val="es-ES_tradnl"/>
              </w:rPr>
              <w:t>Acond</w:t>
            </w:r>
            <w:proofErr w:type="spellEnd"/>
            <w:r w:rsidRPr="00C80F8E">
              <w:rPr>
                <w:rFonts w:ascii="Abadi" w:hAnsi="Abadi" w:cstheme="minorHAnsi"/>
                <w:color w:val="000000"/>
                <w:sz w:val="20"/>
                <w:szCs w:val="20"/>
                <w:lang w:val="es-ES_tradnl"/>
              </w:rPr>
              <w:t xml:space="preserve">. </w:t>
            </w:r>
            <w:proofErr w:type="spellStart"/>
            <w:r w:rsidRPr="00C80F8E">
              <w:rPr>
                <w:rFonts w:ascii="Abadi" w:hAnsi="Abadi" w:cstheme="minorHAnsi"/>
                <w:color w:val="000000"/>
                <w:sz w:val="20"/>
                <w:szCs w:val="20"/>
                <w:lang w:val="es-ES_tradnl"/>
              </w:rPr>
              <w:t>Calef</w:t>
            </w:r>
            <w:proofErr w:type="spellEnd"/>
            <w:r w:rsidRPr="00C80F8E">
              <w:rPr>
                <w:rFonts w:ascii="Abadi" w:hAnsi="Abadi" w:cstheme="minorHAnsi"/>
                <w:color w:val="000000"/>
                <w:sz w:val="20"/>
                <w:szCs w:val="20"/>
                <w:lang w:val="es-ES_tradnl"/>
              </w:rPr>
              <w:t xml:space="preserve">. y </w:t>
            </w:r>
            <w:proofErr w:type="spellStart"/>
            <w:r w:rsidRPr="00C80F8E">
              <w:rPr>
                <w:rFonts w:ascii="Abadi" w:hAnsi="Abadi" w:cstheme="minorHAnsi"/>
                <w:color w:val="000000"/>
                <w:sz w:val="20"/>
                <w:szCs w:val="20"/>
                <w:lang w:val="es-ES_tradnl"/>
              </w:rPr>
              <w:t>Refrig</w:t>
            </w:r>
            <w:proofErr w:type="spellEnd"/>
            <w:r w:rsidRPr="00C80F8E">
              <w:rPr>
                <w:rFonts w:ascii="Abadi" w:hAnsi="Abadi" w:cstheme="minorHAnsi"/>
                <w:color w:val="000000"/>
                <w:sz w:val="20"/>
                <w:szCs w:val="20"/>
                <w:lang w:val="es-ES_tradnl"/>
              </w:rPr>
              <w:t>.</w:t>
            </w:r>
          </w:p>
        </w:tc>
        <w:tc>
          <w:tcPr>
            <w:tcW w:w="2268" w:type="dxa"/>
            <w:tcBorders>
              <w:top w:val="single" w:sz="4" w:space="0" w:color="auto"/>
              <w:left w:val="single" w:sz="4" w:space="0" w:color="auto"/>
              <w:bottom w:val="single" w:sz="4" w:space="0" w:color="auto"/>
              <w:right w:val="nil"/>
            </w:tcBorders>
          </w:tcPr>
          <w:p w14:paraId="4EB001E4" w14:textId="1D22F7F0" w:rsidR="00A42F41" w:rsidRPr="00C80F8E" w:rsidRDefault="003B3925" w:rsidP="00A42F41">
            <w:pPr>
              <w:jc w:val="right"/>
              <w:rPr>
                <w:rFonts w:ascii="Abadi" w:hAnsi="Abadi" w:cstheme="minorHAnsi"/>
                <w:sz w:val="20"/>
                <w:szCs w:val="20"/>
                <w:lang w:val="es-ES_tradnl"/>
              </w:rPr>
            </w:pPr>
            <w:r w:rsidRPr="00C80F8E">
              <w:rPr>
                <w:rFonts w:ascii="Abadi" w:hAnsi="Abadi" w:cstheme="minorHAnsi"/>
                <w:sz w:val="20"/>
                <w:szCs w:val="20"/>
                <w:lang w:val="es-ES_tradnl"/>
              </w:rPr>
              <w:t>306,419.40</w:t>
            </w:r>
          </w:p>
        </w:tc>
        <w:tc>
          <w:tcPr>
            <w:tcW w:w="2125" w:type="dxa"/>
          </w:tcPr>
          <w:p w14:paraId="514556F4" w14:textId="40630B33" w:rsidR="00A42F41" w:rsidRPr="00C80F8E" w:rsidRDefault="00061975" w:rsidP="00A42F41">
            <w:pPr>
              <w:jc w:val="right"/>
              <w:rPr>
                <w:rFonts w:ascii="Abadi" w:hAnsi="Abadi" w:cstheme="minorHAnsi"/>
                <w:sz w:val="20"/>
                <w:szCs w:val="20"/>
                <w:lang w:val="es-ES_tradnl"/>
              </w:rPr>
            </w:pPr>
            <w:r w:rsidRPr="00C80F8E">
              <w:rPr>
                <w:rFonts w:ascii="Abadi" w:hAnsi="Abadi" w:cstheme="minorHAnsi"/>
                <w:sz w:val="20"/>
                <w:szCs w:val="20"/>
                <w:lang w:val="es-ES_tradnl"/>
              </w:rPr>
              <w:t>285,086.04</w:t>
            </w:r>
          </w:p>
        </w:tc>
      </w:tr>
      <w:tr w:rsidR="00A42F41" w:rsidRPr="00C80F8E" w14:paraId="2BA52E25" w14:textId="77777777" w:rsidTr="00C21E3A">
        <w:tc>
          <w:tcPr>
            <w:tcW w:w="4891" w:type="dxa"/>
            <w:tcBorders>
              <w:top w:val="single" w:sz="4" w:space="0" w:color="auto"/>
              <w:left w:val="single" w:sz="4" w:space="0" w:color="auto"/>
              <w:bottom w:val="single" w:sz="4" w:space="0" w:color="auto"/>
              <w:right w:val="single" w:sz="4" w:space="0" w:color="auto"/>
            </w:tcBorders>
          </w:tcPr>
          <w:p w14:paraId="30AA8968" w14:textId="29CC8DC0"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Electrodomésticos</w:t>
            </w:r>
          </w:p>
        </w:tc>
        <w:tc>
          <w:tcPr>
            <w:tcW w:w="2268" w:type="dxa"/>
            <w:tcBorders>
              <w:top w:val="single" w:sz="4" w:space="0" w:color="auto"/>
              <w:left w:val="single" w:sz="4" w:space="0" w:color="auto"/>
              <w:bottom w:val="single" w:sz="4" w:space="0" w:color="auto"/>
              <w:right w:val="nil"/>
            </w:tcBorders>
          </w:tcPr>
          <w:p w14:paraId="196625F0" w14:textId="503B7A8B" w:rsidR="00A42F41" w:rsidRPr="00C80F8E" w:rsidRDefault="003B3925" w:rsidP="00A42F41">
            <w:pPr>
              <w:jc w:val="right"/>
              <w:rPr>
                <w:rFonts w:ascii="Abadi" w:hAnsi="Abadi" w:cstheme="minorHAnsi"/>
                <w:sz w:val="20"/>
                <w:szCs w:val="20"/>
                <w:lang w:val="es-ES_tradnl"/>
              </w:rPr>
            </w:pPr>
            <w:r w:rsidRPr="00C80F8E">
              <w:rPr>
                <w:rFonts w:ascii="Abadi" w:hAnsi="Abadi" w:cstheme="minorHAnsi"/>
                <w:sz w:val="20"/>
                <w:szCs w:val="20"/>
                <w:lang w:val="es-ES_tradnl"/>
              </w:rPr>
              <w:t>30,801.74</w:t>
            </w:r>
          </w:p>
        </w:tc>
        <w:tc>
          <w:tcPr>
            <w:tcW w:w="2125" w:type="dxa"/>
          </w:tcPr>
          <w:p w14:paraId="7ECA22C7" w14:textId="254850CC" w:rsidR="00A42F41" w:rsidRPr="00C80F8E" w:rsidRDefault="00061975" w:rsidP="00A42F41">
            <w:pPr>
              <w:jc w:val="right"/>
              <w:rPr>
                <w:rFonts w:ascii="Abadi" w:hAnsi="Abadi" w:cstheme="minorHAnsi"/>
                <w:sz w:val="20"/>
                <w:szCs w:val="20"/>
                <w:lang w:val="es-ES_tradnl"/>
              </w:rPr>
            </w:pPr>
            <w:r w:rsidRPr="00C80F8E">
              <w:rPr>
                <w:rFonts w:ascii="Abadi" w:hAnsi="Abadi" w:cstheme="minorHAnsi"/>
                <w:sz w:val="20"/>
                <w:szCs w:val="20"/>
                <w:lang w:val="es-ES_tradnl"/>
              </w:rPr>
              <w:t>11,678.90</w:t>
            </w:r>
          </w:p>
        </w:tc>
      </w:tr>
      <w:tr w:rsidR="00A42F41" w:rsidRPr="00C80F8E" w14:paraId="24ADEF67" w14:textId="77777777" w:rsidTr="00C21E3A">
        <w:tc>
          <w:tcPr>
            <w:tcW w:w="4891" w:type="dxa"/>
            <w:tcBorders>
              <w:top w:val="single" w:sz="4" w:space="0" w:color="auto"/>
              <w:left w:val="single" w:sz="4" w:space="0" w:color="auto"/>
              <w:bottom w:val="single" w:sz="4" w:space="0" w:color="auto"/>
              <w:right w:val="single" w:sz="4" w:space="0" w:color="auto"/>
            </w:tcBorders>
          </w:tcPr>
          <w:p w14:paraId="6003BABF" w14:textId="31B60740" w:rsidR="00A42F41" w:rsidRPr="00C80F8E" w:rsidRDefault="00A42F41" w:rsidP="00A42F41">
            <w:pPr>
              <w:rPr>
                <w:rFonts w:ascii="Abadi" w:hAnsi="Abadi" w:cstheme="minorHAnsi"/>
                <w:b/>
                <w:bCs/>
                <w:sz w:val="20"/>
                <w:szCs w:val="20"/>
                <w:lang w:val="es-ES_tradnl"/>
              </w:rPr>
            </w:pPr>
            <w:r w:rsidRPr="00C80F8E">
              <w:rPr>
                <w:rFonts w:ascii="Abadi" w:hAnsi="Abadi" w:cstheme="minorHAnsi"/>
                <w:color w:val="000000"/>
                <w:sz w:val="20"/>
                <w:szCs w:val="20"/>
                <w:lang w:val="es-ES_tradnl"/>
              </w:rPr>
              <w:t>Depreciación Maquinaria-Herramienta</w:t>
            </w:r>
          </w:p>
        </w:tc>
        <w:tc>
          <w:tcPr>
            <w:tcW w:w="2268" w:type="dxa"/>
            <w:tcBorders>
              <w:top w:val="single" w:sz="4" w:space="0" w:color="auto"/>
              <w:left w:val="single" w:sz="4" w:space="0" w:color="auto"/>
              <w:bottom w:val="single" w:sz="4" w:space="0" w:color="auto"/>
              <w:right w:val="nil"/>
            </w:tcBorders>
          </w:tcPr>
          <w:p w14:paraId="0A200F5A" w14:textId="55002F29" w:rsidR="00A42F41" w:rsidRPr="00C80F8E" w:rsidRDefault="0007787C" w:rsidP="00A42F41">
            <w:pPr>
              <w:jc w:val="right"/>
              <w:rPr>
                <w:rFonts w:ascii="Abadi" w:hAnsi="Abadi" w:cstheme="minorHAnsi"/>
                <w:sz w:val="20"/>
                <w:szCs w:val="20"/>
                <w:lang w:val="es-ES_tradnl"/>
              </w:rPr>
            </w:pPr>
            <w:r w:rsidRPr="00C80F8E">
              <w:rPr>
                <w:rFonts w:ascii="Abadi" w:hAnsi="Abadi" w:cstheme="minorHAnsi"/>
                <w:sz w:val="20"/>
                <w:szCs w:val="20"/>
                <w:lang w:val="es-ES_tradnl"/>
              </w:rPr>
              <w:t>5,043.66</w:t>
            </w:r>
          </w:p>
        </w:tc>
        <w:tc>
          <w:tcPr>
            <w:tcW w:w="2125" w:type="dxa"/>
          </w:tcPr>
          <w:p w14:paraId="0AF99AA2" w14:textId="4248283D" w:rsidR="00A42F41" w:rsidRPr="00C80F8E" w:rsidRDefault="00A858F7" w:rsidP="00A42F41">
            <w:pPr>
              <w:jc w:val="right"/>
              <w:rPr>
                <w:rFonts w:ascii="Abadi" w:hAnsi="Abadi" w:cstheme="minorHAnsi"/>
                <w:sz w:val="20"/>
                <w:szCs w:val="20"/>
                <w:lang w:val="es-ES_tradnl"/>
              </w:rPr>
            </w:pPr>
            <w:r w:rsidRPr="00C80F8E">
              <w:rPr>
                <w:rFonts w:ascii="Abadi" w:hAnsi="Abadi" w:cstheme="minorHAnsi"/>
                <w:sz w:val="20"/>
                <w:szCs w:val="20"/>
                <w:lang w:val="es-ES_tradnl"/>
              </w:rPr>
              <w:t>5,043.66</w:t>
            </w:r>
          </w:p>
        </w:tc>
      </w:tr>
      <w:tr w:rsidR="00A42F41" w:rsidRPr="00C80F8E" w14:paraId="11EC9006" w14:textId="77777777" w:rsidTr="00C21E3A">
        <w:tc>
          <w:tcPr>
            <w:tcW w:w="4891" w:type="dxa"/>
            <w:tcBorders>
              <w:top w:val="single" w:sz="4" w:space="0" w:color="auto"/>
              <w:left w:val="single" w:sz="4" w:space="0" w:color="auto"/>
              <w:bottom w:val="single" w:sz="4" w:space="0" w:color="auto"/>
              <w:right w:val="single" w:sz="4" w:space="0" w:color="auto"/>
            </w:tcBorders>
          </w:tcPr>
          <w:p w14:paraId="0E63B64F" w14:textId="6BDD06F9" w:rsidR="00A42F41" w:rsidRPr="00C80F8E" w:rsidRDefault="00A42F41" w:rsidP="00A42F41">
            <w:pPr>
              <w:rPr>
                <w:rFonts w:ascii="Abadi" w:hAnsi="Abadi" w:cstheme="minorHAnsi"/>
                <w:sz w:val="20"/>
                <w:szCs w:val="20"/>
                <w:lang w:val="es-ES_tradnl"/>
              </w:rPr>
            </w:pPr>
            <w:r w:rsidRPr="00C80F8E">
              <w:rPr>
                <w:rFonts w:ascii="Abadi" w:hAnsi="Abadi" w:cstheme="minorHAnsi"/>
                <w:color w:val="000000"/>
                <w:sz w:val="20"/>
                <w:szCs w:val="20"/>
                <w:lang w:val="es-ES_tradnl"/>
              </w:rPr>
              <w:t>Depreciación Equipos de Tracción</w:t>
            </w:r>
          </w:p>
        </w:tc>
        <w:tc>
          <w:tcPr>
            <w:tcW w:w="2268" w:type="dxa"/>
            <w:tcBorders>
              <w:top w:val="single" w:sz="4" w:space="0" w:color="auto"/>
              <w:left w:val="single" w:sz="4" w:space="0" w:color="auto"/>
              <w:bottom w:val="single" w:sz="4" w:space="0" w:color="auto"/>
              <w:right w:val="nil"/>
            </w:tcBorders>
          </w:tcPr>
          <w:p w14:paraId="2255AE79" w14:textId="5DE70F67" w:rsidR="00A42F41" w:rsidRPr="00C80F8E" w:rsidRDefault="00A41882" w:rsidP="00A42F41">
            <w:pPr>
              <w:jc w:val="right"/>
              <w:rPr>
                <w:rFonts w:ascii="Abadi" w:hAnsi="Abadi" w:cstheme="minorHAnsi"/>
                <w:sz w:val="20"/>
                <w:szCs w:val="20"/>
                <w:lang w:val="es-ES_tradnl"/>
              </w:rPr>
            </w:pPr>
            <w:r w:rsidRPr="00C80F8E">
              <w:rPr>
                <w:rFonts w:ascii="Abadi" w:hAnsi="Abadi" w:cstheme="minorHAnsi"/>
                <w:sz w:val="20"/>
                <w:szCs w:val="20"/>
                <w:lang w:val="es-ES_tradnl"/>
              </w:rPr>
              <w:t>407.10</w:t>
            </w:r>
          </w:p>
        </w:tc>
        <w:tc>
          <w:tcPr>
            <w:tcW w:w="2125" w:type="dxa"/>
          </w:tcPr>
          <w:p w14:paraId="4C130D28" w14:textId="294C9DB0" w:rsidR="00A42F41" w:rsidRPr="00C80F8E" w:rsidRDefault="00A858F7" w:rsidP="00A42F41">
            <w:pPr>
              <w:jc w:val="right"/>
              <w:rPr>
                <w:rFonts w:ascii="Abadi" w:hAnsi="Abadi" w:cstheme="minorHAnsi"/>
                <w:sz w:val="20"/>
                <w:szCs w:val="20"/>
                <w:lang w:val="es-ES_tradnl"/>
              </w:rPr>
            </w:pPr>
            <w:r w:rsidRPr="00C80F8E">
              <w:rPr>
                <w:rFonts w:ascii="Abadi" w:hAnsi="Abadi" w:cstheme="minorHAnsi"/>
                <w:sz w:val="20"/>
                <w:szCs w:val="20"/>
                <w:lang w:val="es-ES_tradnl"/>
              </w:rPr>
              <w:t>407.10</w:t>
            </w:r>
          </w:p>
        </w:tc>
      </w:tr>
      <w:tr w:rsidR="00A42F41" w:rsidRPr="00C80F8E" w14:paraId="3D05119D" w14:textId="77777777" w:rsidTr="00C21E3A">
        <w:tc>
          <w:tcPr>
            <w:tcW w:w="4891" w:type="dxa"/>
            <w:tcBorders>
              <w:top w:val="single" w:sz="4" w:space="0" w:color="auto"/>
              <w:left w:val="single" w:sz="4" w:space="0" w:color="auto"/>
              <w:bottom w:val="single" w:sz="4" w:space="0" w:color="auto"/>
              <w:right w:val="single" w:sz="4" w:space="0" w:color="auto"/>
            </w:tcBorders>
          </w:tcPr>
          <w:p w14:paraId="3B5DFD83" w14:textId="7571991A" w:rsidR="00A42F41" w:rsidRPr="00C80F8E" w:rsidRDefault="00A42F41" w:rsidP="00A42F41">
            <w:pPr>
              <w:rPr>
                <w:rFonts w:ascii="Abadi" w:hAnsi="Abadi" w:cstheme="minorHAnsi"/>
                <w:sz w:val="20"/>
                <w:szCs w:val="20"/>
                <w:lang w:val="es-ES_tradnl"/>
              </w:rPr>
            </w:pPr>
            <w:r w:rsidRPr="00C80F8E">
              <w:rPr>
                <w:rFonts w:ascii="Abadi" w:hAnsi="Abadi" w:cstheme="minorHAnsi"/>
                <w:color w:val="000000"/>
                <w:sz w:val="20"/>
                <w:szCs w:val="20"/>
                <w:lang w:val="es-ES_tradnl"/>
              </w:rPr>
              <w:t>Depreciación Cámara Fotográfica y de Video</w:t>
            </w:r>
          </w:p>
        </w:tc>
        <w:tc>
          <w:tcPr>
            <w:tcW w:w="2268" w:type="dxa"/>
            <w:tcBorders>
              <w:top w:val="single" w:sz="4" w:space="0" w:color="auto"/>
              <w:left w:val="single" w:sz="4" w:space="0" w:color="auto"/>
              <w:bottom w:val="single" w:sz="4" w:space="0" w:color="auto"/>
              <w:right w:val="nil"/>
            </w:tcBorders>
          </w:tcPr>
          <w:p w14:paraId="1FD3616F" w14:textId="2327D44C" w:rsidR="00A42F41" w:rsidRPr="00C80F8E" w:rsidRDefault="00A41882" w:rsidP="00A42F41">
            <w:pPr>
              <w:jc w:val="right"/>
              <w:rPr>
                <w:rFonts w:ascii="Abadi" w:hAnsi="Abadi" w:cstheme="minorHAnsi"/>
                <w:sz w:val="20"/>
                <w:szCs w:val="20"/>
                <w:lang w:val="es-ES_tradnl"/>
              </w:rPr>
            </w:pPr>
            <w:r w:rsidRPr="00C80F8E">
              <w:rPr>
                <w:rFonts w:ascii="Abadi" w:hAnsi="Abadi" w:cstheme="minorHAnsi"/>
                <w:sz w:val="20"/>
                <w:szCs w:val="20"/>
                <w:lang w:val="es-ES_tradnl"/>
              </w:rPr>
              <w:t>136,628.04</w:t>
            </w:r>
          </w:p>
        </w:tc>
        <w:tc>
          <w:tcPr>
            <w:tcW w:w="2125" w:type="dxa"/>
          </w:tcPr>
          <w:p w14:paraId="0B4DA6CF" w14:textId="101E952D" w:rsidR="00A42F41" w:rsidRPr="00C80F8E" w:rsidRDefault="00A858F7" w:rsidP="00A42F41">
            <w:pPr>
              <w:jc w:val="right"/>
              <w:rPr>
                <w:rFonts w:ascii="Abadi" w:hAnsi="Abadi" w:cstheme="minorHAnsi"/>
                <w:sz w:val="20"/>
                <w:szCs w:val="20"/>
                <w:lang w:val="es-ES_tradnl"/>
              </w:rPr>
            </w:pPr>
            <w:r w:rsidRPr="00C80F8E">
              <w:rPr>
                <w:rFonts w:ascii="Abadi" w:hAnsi="Abadi" w:cstheme="minorHAnsi"/>
                <w:sz w:val="20"/>
                <w:szCs w:val="20"/>
                <w:lang w:val="es-ES_tradnl"/>
              </w:rPr>
              <w:t>136</w:t>
            </w:r>
            <w:r w:rsidR="00A97F9C" w:rsidRPr="00C80F8E">
              <w:rPr>
                <w:rFonts w:ascii="Abadi" w:hAnsi="Abadi" w:cstheme="minorHAnsi"/>
                <w:sz w:val="20"/>
                <w:szCs w:val="20"/>
                <w:lang w:val="es-ES_tradnl"/>
              </w:rPr>
              <w:t>,628.04</w:t>
            </w:r>
          </w:p>
        </w:tc>
      </w:tr>
      <w:tr w:rsidR="00A42F41" w:rsidRPr="00C80F8E" w14:paraId="22F930D0" w14:textId="77777777" w:rsidTr="00C21E3A">
        <w:tc>
          <w:tcPr>
            <w:tcW w:w="4891" w:type="dxa"/>
            <w:tcBorders>
              <w:top w:val="single" w:sz="4" w:space="0" w:color="auto"/>
              <w:left w:val="single" w:sz="4" w:space="0" w:color="auto"/>
              <w:bottom w:val="single" w:sz="4" w:space="0" w:color="auto"/>
              <w:right w:val="single" w:sz="4" w:space="0" w:color="auto"/>
            </w:tcBorders>
          </w:tcPr>
          <w:p w14:paraId="068199A4" w14:textId="3E84EFA4" w:rsidR="00A42F41" w:rsidRPr="00C80F8E" w:rsidRDefault="00A42F41" w:rsidP="00A42F41">
            <w:pPr>
              <w:rPr>
                <w:rFonts w:ascii="Abadi" w:hAnsi="Abadi" w:cstheme="minorHAnsi"/>
                <w:sz w:val="20"/>
                <w:szCs w:val="20"/>
                <w:lang w:val="es-ES_tradnl"/>
              </w:rPr>
            </w:pPr>
            <w:r w:rsidRPr="00C80F8E">
              <w:rPr>
                <w:rFonts w:ascii="Abadi" w:hAnsi="Abadi" w:cstheme="minorHAnsi"/>
                <w:color w:val="000000"/>
                <w:sz w:val="20"/>
                <w:szCs w:val="20"/>
                <w:lang w:val="es-ES_tradnl"/>
              </w:rPr>
              <w:t>Depreciación Otros Equipos de Transporte</w:t>
            </w:r>
          </w:p>
        </w:tc>
        <w:tc>
          <w:tcPr>
            <w:tcW w:w="2268" w:type="dxa"/>
            <w:tcBorders>
              <w:top w:val="single" w:sz="4" w:space="0" w:color="auto"/>
              <w:left w:val="single" w:sz="4" w:space="0" w:color="auto"/>
              <w:bottom w:val="single" w:sz="4" w:space="0" w:color="auto"/>
              <w:right w:val="nil"/>
            </w:tcBorders>
          </w:tcPr>
          <w:p w14:paraId="34EFE7BE" w14:textId="09D38CCC" w:rsidR="00A42F41" w:rsidRPr="00C80F8E" w:rsidRDefault="00D9396F" w:rsidP="00A42F41">
            <w:pPr>
              <w:jc w:val="right"/>
              <w:rPr>
                <w:rFonts w:ascii="Abadi" w:hAnsi="Abadi" w:cstheme="minorHAnsi"/>
                <w:sz w:val="20"/>
                <w:szCs w:val="20"/>
                <w:lang w:val="es-ES_tradnl"/>
              </w:rPr>
            </w:pPr>
            <w:r w:rsidRPr="00C80F8E">
              <w:rPr>
                <w:rFonts w:ascii="Abadi" w:hAnsi="Abadi" w:cstheme="minorHAnsi"/>
                <w:sz w:val="20"/>
                <w:szCs w:val="20"/>
                <w:lang w:val="es-ES_tradnl"/>
              </w:rPr>
              <w:t>19,945.32</w:t>
            </w:r>
          </w:p>
        </w:tc>
        <w:tc>
          <w:tcPr>
            <w:tcW w:w="2125" w:type="dxa"/>
          </w:tcPr>
          <w:p w14:paraId="729A4295" w14:textId="7B0A89FC" w:rsidR="00A42F41" w:rsidRPr="00C80F8E" w:rsidRDefault="00A97F9C" w:rsidP="00A42F41">
            <w:pPr>
              <w:jc w:val="right"/>
              <w:rPr>
                <w:rFonts w:ascii="Abadi" w:hAnsi="Abadi" w:cstheme="minorHAnsi"/>
                <w:sz w:val="20"/>
                <w:szCs w:val="20"/>
                <w:lang w:val="es-ES_tradnl"/>
              </w:rPr>
            </w:pPr>
            <w:r w:rsidRPr="00C80F8E">
              <w:rPr>
                <w:rFonts w:ascii="Abadi" w:hAnsi="Abadi" w:cstheme="minorHAnsi"/>
                <w:sz w:val="20"/>
                <w:szCs w:val="20"/>
                <w:lang w:val="es-ES_tradnl"/>
              </w:rPr>
              <w:t>26,678.82</w:t>
            </w:r>
          </w:p>
        </w:tc>
      </w:tr>
      <w:tr w:rsidR="00A42F41" w:rsidRPr="00C80F8E" w14:paraId="39424DE9" w14:textId="77777777" w:rsidTr="00F53175">
        <w:tc>
          <w:tcPr>
            <w:tcW w:w="4891" w:type="dxa"/>
            <w:tcBorders>
              <w:top w:val="single" w:sz="4" w:space="0" w:color="auto"/>
              <w:left w:val="single" w:sz="4" w:space="0" w:color="auto"/>
              <w:bottom w:val="single" w:sz="4" w:space="0" w:color="auto"/>
              <w:right w:val="single" w:sz="4" w:space="0" w:color="auto"/>
            </w:tcBorders>
          </w:tcPr>
          <w:p w14:paraId="4CD25794" w14:textId="0F7A1448" w:rsidR="00A42F41" w:rsidRPr="00C80F8E" w:rsidRDefault="00A42F41" w:rsidP="00A42F41">
            <w:pPr>
              <w:rPr>
                <w:rFonts w:ascii="Abadi" w:hAnsi="Abadi" w:cstheme="minorHAnsi"/>
                <w:sz w:val="20"/>
                <w:szCs w:val="20"/>
                <w:lang w:val="es-ES_tradnl"/>
              </w:rPr>
            </w:pPr>
            <w:r w:rsidRPr="00C80F8E">
              <w:rPr>
                <w:rFonts w:ascii="Abadi" w:hAnsi="Abadi" w:cstheme="minorHAnsi"/>
                <w:color w:val="000000"/>
                <w:sz w:val="20"/>
                <w:szCs w:val="20"/>
                <w:lang w:val="es-ES_tradnl"/>
              </w:rPr>
              <w:t>Depreciación Equipos Audiovisuales</w:t>
            </w:r>
          </w:p>
        </w:tc>
        <w:tc>
          <w:tcPr>
            <w:tcW w:w="2268" w:type="dxa"/>
            <w:tcBorders>
              <w:top w:val="single" w:sz="4" w:space="0" w:color="auto"/>
              <w:left w:val="single" w:sz="4" w:space="0" w:color="auto"/>
              <w:bottom w:val="single" w:sz="12" w:space="0" w:color="auto"/>
              <w:right w:val="nil"/>
            </w:tcBorders>
          </w:tcPr>
          <w:p w14:paraId="3C76B590" w14:textId="423D5F02" w:rsidR="00A42F41" w:rsidRPr="00C80F8E" w:rsidRDefault="00804FCE" w:rsidP="00A42F41">
            <w:pPr>
              <w:jc w:val="right"/>
              <w:rPr>
                <w:rFonts w:ascii="Abadi" w:hAnsi="Abadi" w:cstheme="minorHAnsi"/>
                <w:sz w:val="20"/>
                <w:szCs w:val="20"/>
                <w:lang w:val="es-ES_tradnl"/>
              </w:rPr>
            </w:pPr>
            <w:r w:rsidRPr="00C80F8E">
              <w:rPr>
                <w:rFonts w:ascii="Abadi" w:hAnsi="Abadi" w:cstheme="minorHAnsi"/>
                <w:sz w:val="20"/>
                <w:szCs w:val="20"/>
                <w:lang w:val="es-ES_tradnl"/>
              </w:rPr>
              <w:t>237,317.62</w:t>
            </w:r>
          </w:p>
        </w:tc>
        <w:tc>
          <w:tcPr>
            <w:tcW w:w="2125" w:type="dxa"/>
            <w:tcBorders>
              <w:bottom w:val="single" w:sz="12" w:space="0" w:color="auto"/>
            </w:tcBorders>
          </w:tcPr>
          <w:p w14:paraId="31202543" w14:textId="01074848" w:rsidR="00A42F41" w:rsidRPr="00C80F8E" w:rsidRDefault="00A97F9C" w:rsidP="00A42F41">
            <w:pPr>
              <w:jc w:val="right"/>
              <w:rPr>
                <w:rFonts w:ascii="Abadi" w:hAnsi="Abadi" w:cstheme="minorHAnsi"/>
                <w:sz w:val="20"/>
                <w:szCs w:val="20"/>
                <w:lang w:val="es-ES_tradnl"/>
              </w:rPr>
            </w:pPr>
            <w:r w:rsidRPr="00C80F8E">
              <w:rPr>
                <w:rFonts w:ascii="Abadi" w:hAnsi="Abadi" w:cstheme="minorHAnsi"/>
                <w:sz w:val="20"/>
                <w:szCs w:val="20"/>
                <w:lang w:val="es-ES_tradnl"/>
              </w:rPr>
              <w:t>213,897.56</w:t>
            </w:r>
          </w:p>
        </w:tc>
      </w:tr>
      <w:tr w:rsidR="002A33CB" w:rsidRPr="00C80F8E" w14:paraId="15BBCB51" w14:textId="77777777" w:rsidTr="00F53175">
        <w:tc>
          <w:tcPr>
            <w:tcW w:w="4891" w:type="dxa"/>
            <w:tcBorders>
              <w:top w:val="single" w:sz="4" w:space="0" w:color="auto"/>
              <w:left w:val="single" w:sz="4" w:space="0" w:color="auto"/>
              <w:bottom w:val="single" w:sz="4" w:space="0" w:color="auto"/>
              <w:right w:val="single" w:sz="4" w:space="0" w:color="auto"/>
            </w:tcBorders>
          </w:tcPr>
          <w:p w14:paraId="0840C6A0" w14:textId="0F60C603" w:rsidR="002A33CB" w:rsidRPr="00C80F8E" w:rsidRDefault="001E3985" w:rsidP="00A42F41">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Depreciación</w:t>
            </w:r>
            <w:r w:rsidR="002A33CB" w:rsidRPr="00C80F8E">
              <w:rPr>
                <w:rFonts w:ascii="Abadi" w:hAnsi="Abadi" w:cstheme="minorHAnsi"/>
                <w:color w:val="000000"/>
                <w:sz w:val="20"/>
                <w:szCs w:val="20"/>
                <w:lang w:val="es-ES_tradnl"/>
              </w:rPr>
              <w:t xml:space="preserve"> Equipos </w:t>
            </w:r>
            <w:r w:rsidRPr="00C80F8E">
              <w:rPr>
                <w:rFonts w:ascii="Abadi" w:hAnsi="Abadi" w:cstheme="minorHAnsi"/>
                <w:color w:val="000000"/>
                <w:sz w:val="20"/>
                <w:szCs w:val="20"/>
                <w:lang w:val="es-ES_tradnl"/>
              </w:rPr>
              <w:t>médicos</w:t>
            </w:r>
            <w:r w:rsidR="002A33CB" w:rsidRPr="00C80F8E">
              <w:rPr>
                <w:rFonts w:ascii="Abadi" w:hAnsi="Abadi" w:cstheme="minorHAnsi"/>
                <w:color w:val="000000"/>
                <w:sz w:val="20"/>
                <w:szCs w:val="20"/>
                <w:lang w:val="es-ES_tradnl"/>
              </w:rPr>
              <w:t xml:space="preserve"> y de Laboratorio</w:t>
            </w:r>
          </w:p>
        </w:tc>
        <w:tc>
          <w:tcPr>
            <w:tcW w:w="2268" w:type="dxa"/>
            <w:tcBorders>
              <w:top w:val="single" w:sz="4" w:space="0" w:color="auto"/>
              <w:left w:val="single" w:sz="4" w:space="0" w:color="auto"/>
              <w:bottom w:val="single" w:sz="12" w:space="0" w:color="auto"/>
              <w:right w:val="nil"/>
            </w:tcBorders>
          </w:tcPr>
          <w:p w14:paraId="3810AD0F" w14:textId="54363F87" w:rsidR="002A33CB" w:rsidRPr="00C80F8E" w:rsidRDefault="00D51EA1" w:rsidP="00A42F41">
            <w:pPr>
              <w:jc w:val="right"/>
              <w:rPr>
                <w:rFonts w:ascii="Abadi" w:hAnsi="Abadi" w:cstheme="minorHAnsi"/>
                <w:sz w:val="20"/>
                <w:szCs w:val="20"/>
                <w:lang w:val="es-ES_tradnl"/>
              </w:rPr>
            </w:pPr>
            <w:r w:rsidRPr="00C80F8E">
              <w:rPr>
                <w:rFonts w:ascii="Abadi" w:hAnsi="Abadi" w:cstheme="minorHAnsi"/>
                <w:sz w:val="20"/>
                <w:szCs w:val="20"/>
                <w:lang w:val="es-ES_tradnl"/>
              </w:rPr>
              <w:t>825.22</w:t>
            </w:r>
          </w:p>
        </w:tc>
        <w:tc>
          <w:tcPr>
            <w:tcW w:w="2125" w:type="dxa"/>
            <w:tcBorders>
              <w:bottom w:val="single" w:sz="12" w:space="0" w:color="auto"/>
            </w:tcBorders>
          </w:tcPr>
          <w:p w14:paraId="72CBF67B" w14:textId="38F7783F" w:rsidR="002A33CB" w:rsidRPr="00C80F8E" w:rsidRDefault="000A7CD6" w:rsidP="00A42F41">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D51EA1" w:rsidRPr="00C80F8E" w14:paraId="3C89C1EC" w14:textId="77777777" w:rsidTr="00F53175">
        <w:tc>
          <w:tcPr>
            <w:tcW w:w="4891" w:type="dxa"/>
            <w:tcBorders>
              <w:top w:val="single" w:sz="4" w:space="0" w:color="auto"/>
              <w:left w:val="single" w:sz="4" w:space="0" w:color="auto"/>
              <w:bottom w:val="single" w:sz="4" w:space="0" w:color="auto"/>
              <w:right w:val="single" w:sz="4" w:space="0" w:color="auto"/>
            </w:tcBorders>
          </w:tcPr>
          <w:p w14:paraId="05B1E313" w14:textId="21AB50DE" w:rsidR="00D51EA1" w:rsidRPr="00C80F8E" w:rsidRDefault="001E3985" w:rsidP="00A42F41">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Depreciación Equipo de Generación Eléctrica, Apara</w:t>
            </w:r>
          </w:p>
        </w:tc>
        <w:tc>
          <w:tcPr>
            <w:tcW w:w="2268" w:type="dxa"/>
            <w:tcBorders>
              <w:top w:val="single" w:sz="4" w:space="0" w:color="auto"/>
              <w:left w:val="single" w:sz="4" w:space="0" w:color="auto"/>
              <w:bottom w:val="single" w:sz="12" w:space="0" w:color="auto"/>
              <w:right w:val="nil"/>
            </w:tcBorders>
          </w:tcPr>
          <w:p w14:paraId="1460FEA9" w14:textId="5B2C4A74" w:rsidR="00D51EA1" w:rsidRPr="00C80F8E" w:rsidRDefault="002B3249" w:rsidP="00A42F41">
            <w:pPr>
              <w:jc w:val="right"/>
              <w:rPr>
                <w:rFonts w:ascii="Abadi" w:hAnsi="Abadi" w:cstheme="minorHAnsi"/>
                <w:sz w:val="20"/>
                <w:szCs w:val="20"/>
                <w:lang w:val="es-ES_tradnl"/>
              </w:rPr>
            </w:pPr>
            <w:r w:rsidRPr="00C80F8E">
              <w:rPr>
                <w:rFonts w:ascii="Abadi" w:hAnsi="Abadi" w:cstheme="minorHAnsi"/>
                <w:sz w:val="20"/>
                <w:szCs w:val="20"/>
                <w:lang w:val="es-ES_tradnl"/>
              </w:rPr>
              <w:t>46,564.18</w:t>
            </w:r>
          </w:p>
        </w:tc>
        <w:tc>
          <w:tcPr>
            <w:tcW w:w="2125" w:type="dxa"/>
            <w:tcBorders>
              <w:bottom w:val="single" w:sz="12" w:space="0" w:color="auto"/>
            </w:tcBorders>
          </w:tcPr>
          <w:p w14:paraId="68165A0E" w14:textId="242F917E" w:rsidR="00D51EA1" w:rsidRPr="00C80F8E" w:rsidRDefault="000A7CD6" w:rsidP="00A42F41">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3B1654" w:rsidRPr="00C80F8E" w14:paraId="198FC08A" w14:textId="77777777" w:rsidTr="00F53175">
        <w:tc>
          <w:tcPr>
            <w:tcW w:w="4891" w:type="dxa"/>
            <w:tcBorders>
              <w:top w:val="single" w:sz="4" w:space="0" w:color="auto"/>
            </w:tcBorders>
          </w:tcPr>
          <w:p w14:paraId="3FB3C3ED" w14:textId="77777777" w:rsidR="003B1654" w:rsidRPr="00C80F8E" w:rsidRDefault="003B1654" w:rsidP="00CF3696">
            <w:pPr>
              <w:jc w:val="right"/>
              <w:rPr>
                <w:rFonts w:ascii="Abadi" w:hAnsi="Abadi" w:cstheme="minorHAnsi"/>
                <w:sz w:val="20"/>
                <w:szCs w:val="20"/>
                <w:lang w:val="es-ES_tradnl"/>
              </w:rPr>
            </w:pPr>
            <w:r w:rsidRPr="00C80F8E">
              <w:rPr>
                <w:rFonts w:ascii="Abadi" w:hAnsi="Abadi" w:cstheme="minorHAnsi"/>
                <w:sz w:val="20"/>
                <w:szCs w:val="20"/>
                <w:lang w:val="es-ES_tradnl"/>
              </w:rPr>
              <w:t xml:space="preserve">Total </w:t>
            </w:r>
          </w:p>
        </w:tc>
        <w:tc>
          <w:tcPr>
            <w:tcW w:w="2268" w:type="dxa"/>
            <w:tcBorders>
              <w:top w:val="single" w:sz="12" w:space="0" w:color="auto"/>
              <w:bottom w:val="double" w:sz="4" w:space="0" w:color="auto"/>
            </w:tcBorders>
          </w:tcPr>
          <w:p w14:paraId="6E704498" w14:textId="367EAD8D" w:rsidR="003B1654" w:rsidRPr="00C80F8E" w:rsidRDefault="000A7CD6" w:rsidP="00A2275A">
            <w:pPr>
              <w:jc w:val="right"/>
              <w:rPr>
                <w:rFonts w:ascii="Abadi" w:hAnsi="Abadi" w:cs="Arial"/>
                <w:b/>
                <w:bCs/>
                <w:color w:val="000000"/>
                <w:sz w:val="20"/>
                <w:szCs w:val="20"/>
                <w:lang w:val="es-ES_tradnl"/>
              </w:rPr>
            </w:pPr>
            <w:r w:rsidRPr="00C80F8E">
              <w:rPr>
                <w:rFonts w:ascii="Abadi" w:hAnsi="Abadi" w:cs="Arial"/>
                <w:b/>
                <w:bCs/>
                <w:color w:val="000000"/>
                <w:sz w:val="20"/>
                <w:szCs w:val="20"/>
                <w:lang w:val="es-ES_tradnl"/>
              </w:rPr>
              <w:t>6,499,760.55</w:t>
            </w:r>
          </w:p>
        </w:tc>
        <w:tc>
          <w:tcPr>
            <w:tcW w:w="2125" w:type="dxa"/>
            <w:tcBorders>
              <w:top w:val="single" w:sz="12" w:space="0" w:color="auto"/>
              <w:bottom w:val="double" w:sz="4" w:space="0" w:color="auto"/>
            </w:tcBorders>
          </w:tcPr>
          <w:p w14:paraId="640471D4" w14:textId="02040A87" w:rsidR="003B1654" w:rsidRPr="00C80F8E" w:rsidRDefault="000A484B" w:rsidP="00F8499F">
            <w:pPr>
              <w:jc w:val="right"/>
              <w:rPr>
                <w:rFonts w:ascii="Abadi" w:hAnsi="Abadi" w:cstheme="minorHAnsi"/>
                <w:b/>
                <w:bCs/>
                <w:sz w:val="20"/>
                <w:szCs w:val="20"/>
                <w:lang w:val="es-ES_tradnl"/>
              </w:rPr>
            </w:pPr>
            <w:r w:rsidRPr="00C80F8E">
              <w:rPr>
                <w:rFonts w:ascii="Abadi" w:hAnsi="Abadi" w:cstheme="minorHAnsi"/>
                <w:b/>
                <w:bCs/>
                <w:sz w:val="20"/>
                <w:szCs w:val="20"/>
                <w:lang w:val="es-ES_tradnl"/>
              </w:rPr>
              <w:t>6,062,428.67</w:t>
            </w:r>
          </w:p>
        </w:tc>
      </w:tr>
      <w:bookmarkEnd w:id="56"/>
    </w:tbl>
    <w:p w14:paraId="1601EA30" w14:textId="77777777" w:rsidR="005C1B75" w:rsidRPr="00C80F8E" w:rsidRDefault="005C1B75">
      <w:pPr>
        <w:rPr>
          <w:rFonts w:ascii="Abadi" w:hAnsi="Abadi" w:cstheme="minorHAnsi"/>
          <w:b/>
          <w:sz w:val="20"/>
          <w:szCs w:val="20"/>
          <w:lang w:val="es-ES_tradnl"/>
        </w:rPr>
      </w:pPr>
    </w:p>
    <w:p w14:paraId="4D0A2772" w14:textId="0802F60B" w:rsidR="00452B79" w:rsidRPr="00C80F8E" w:rsidRDefault="00D707E3"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Ser</w:t>
      </w:r>
      <w:r w:rsidR="00EA28DE" w:rsidRPr="00C80F8E">
        <w:rPr>
          <w:rFonts w:ascii="Abadi" w:hAnsi="Abadi" w:cstheme="minorHAnsi"/>
          <w:b/>
          <w:sz w:val="20"/>
          <w:szCs w:val="20"/>
          <w:lang w:val="es-ES_tradnl"/>
        </w:rPr>
        <w:t>vicios no Personales (</w:t>
      </w:r>
      <w:r w:rsidR="004823B8" w:rsidRPr="00C80F8E">
        <w:rPr>
          <w:rFonts w:ascii="Abadi" w:hAnsi="Abadi" w:cstheme="minorHAnsi"/>
          <w:b/>
          <w:sz w:val="20"/>
          <w:szCs w:val="20"/>
          <w:lang w:val="es-ES_tradnl"/>
        </w:rPr>
        <w:t>Otros gastos</w:t>
      </w:r>
      <w:r w:rsidR="00EA28DE" w:rsidRPr="00C80F8E">
        <w:rPr>
          <w:rFonts w:ascii="Abadi" w:hAnsi="Abadi" w:cstheme="minorHAnsi"/>
          <w:b/>
          <w:sz w:val="20"/>
          <w:szCs w:val="20"/>
          <w:lang w:val="es-ES_tradnl"/>
        </w:rPr>
        <w:t>)</w:t>
      </w:r>
    </w:p>
    <w:p w14:paraId="19981E27" w14:textId="2F55A0BF" w:rsidR="00452B79" w:rsidRPr="00C80F8E" w:rsidRDefault="00626332" w:rsidP="00626332">
      <w:pPr>
        <w:jc w:val="both"/>
        <w:rPr>
          <w:rFonts w:ascii="Abadi" w:hAnsi="Abadi" w:cstheme="minorHAnsi"/>
          <w:bCs/>
          <w:sz w:val="20"/>
          <w:szCs w:val="20"/>
          <w:lang w:val="es-ES_tradnl"/>
        </w:rPr>
      </w:pPr>
      <w:r w:rsidRPr="00C80F8E">
        <w:rPr>
          <w:rFonts w:ascii="Abadi" w:hAnsi="Abadi" w:cstheme="minorHAnsi"/>
          <w:bCs/>
          <w:sz w:val="20"/>
          <w:szCs w:val="20"/>
          <w:lang w:val="es-ES_tradnl"/>
        </w:rPr>
        <w:t>Al 30 de junio de 2025, los gastos totales por servicios contratados y otros servicios generales ascendieron a RD$48,161,048.02, frente a RD$34,844,588.78 registrados al 30 de junio de 2024. Esta diferencia representa un incremento absoluto de RD$13,316,459.24 y una variación relativa positiva de 38.23%.</w:t>
      </w:r>
      <w:r w:rsidR="00452B79" w:rsidRPr="00C80F8E">
        <w:rPr>
          <w:rFonts w:ascii="Abadi" w:hAnsi="Abadi" w:cstheme="minorHAnsi"/>
          <w:bCs/>
          <w:sz w:val="20"/>
          <w:szCs w:val="20"/>
          <w:lang w:val="es-ES_tradnl"/>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3375D8" w:rsidRPr="00C80F8E" w14:paraId="5F7D14B0" w14:textId="77777777" w:rsidTr="005554E7">
        <w:tc>
          <w:tcPr>
            <w:tcW w:w="4891" w:type="dxa"/>
            <w:tcBorders>
              <w:bottom w:val="single" w:sz="4" w:space="0" w:color="auto"/>
            </w:tcBorders>
            <w:shd w:val="clear" w:color="auto" w:fill="0070C0"/>
          </w:tcPr>
          <w:p w14:paraId="12122E5E" w14:textId="77777777" w:rsidR="003375D8" w:rsidRPr="00C80F8E" w:rsidRDefault="003375D8" w:rsidP="005554E7">
            <w:pPr>
              <w:jc w:val="center"/>
              <w:rPr>
                <w:rFonts w:ascii="Abadi" w:hAnsi="Abadi" w:cstheme="minorHAnsi"/>
                <w:b/>
                <w:bCs/>
                <w:color w:val="FFFFFF" w:themeColor="background1"/>
                <w:sz w:val="20"/>
                <w:szCs w:val="20"/>
                <w:lang w:val="es-ES_tradnl"/>
              </w:rPr>
            </w:pPr>
            <w:bookmarkStart w:id="57" w:name="_Hlk203412602"/>
            <w:r w:rsidRPr="00C80F8E">
              <w:rPr>
                <w:rFonts w:ascii="Abadi" w:hAnsi="Abadi" w:cstheme="minorHAnsi"/>
                <w:b/>
                <w:bCs/>
                <w:color w:val="FFFFFF" w:themeColor="background1"/>
                <w:sz w:val="20"/>
                <w:szCs w:val="20"/>
                <w:lang w:val="es-ES_tradnl"/>
              </w:rPr>
              <w:t>Descripción</w:t>
            </w:r>
          </w:p>
        </w:tc>
        <w:tc>
          <w:tcPr>
            <w:tcW w:w="2268" w:type="dxa"/>
            <w:tcBorders>
              <w:bottom w:val="single" w:sz="4" w:space="0" w:color="auto"/>
            </w:tcBorders>
            <w:shd w:val="clear" w:color="auto" w:fill="0070C0"/>
          </w:tcPr>
          <w:p w14:paraId="5E8982EB" w14:textId="77777777" w:rsidR="003375D8" w:rsidRPr="00C80F8E" w:rsidRDefault="003375D8" w:rsidP="005554E7">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tcPr>
          <w:p w14:paraId="5C70691B" w14:textId="77777777" w:rsidR="003375D8" w:rsidRPr="00C80F8E" w:rsidRDefault="003375D8" w:rsidP="005554E7">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7C66A8" w:rsidRPr="00C80F8E" w14:paraId="14A385AB" w14:textId="77777777" w:rsidTr="005554E7">
        <w:tc>
          <w:tcPr>
            <w:tcW w:w="4891" w:type="dxa"/>
            <w:tcBorders>
              <w:top w:val="single" w:sz="4" w:space="0" w:color="auto"/>
              <w:left w:val="single" w:sz="4" w:space="0" w:color="auto"/>
              <w:bottom w:val="single" w:sz="4" w:space="0" w:color="auto"/>
              <w:right w:val="single" w:sz="4" w:space="0" w:color="auto"/>
            </w:tcBorders>
          </w:tcPr>
          <w:p w14:paraId="5C8F82A5" w14:textId="6504939F" w:rsidR="007C66A8" w:rsidRPr="00C80F8E" w:rsidRDefault="007C66A8" w:rsidP="007C66A8">
            <w:pPr>
              <w:rPr>
                <w:rFonts w:ascii="Abadi" w:hAnsi="Abadi" w:cstheme="minorHAnsi"/>
                <w:b/>
                <w:bCs/>
                <w:sz w:val="20"/>
                <w:szCs w:val="20"/>
                <w:lang w:val="es-ES_tradnl"/>
              </w:rPr>
            </w:pPr>
            <w:r w:rsidRPr="00C80F8E">
              <w:rPr>
                <w:lang w:val="es-ES_tradnl"/>
              </w:rPr>
              <w:t xml:space="preserve">1. Servicios de comunicaciones </w:t>
            </w:r>
          </w:p>
        </w:tc>
        <w:tc>
          <w:tcPr>
            <w:tcW w:w="2268" w:type="dxa"/>
            <w:tcBorders>
              <w:top w:val="single" w:sz="4" w:space="0" w:color="auto"/>
              <w:left w:val="single" w:sz="4" w:space="0" w:color="auto"/>
              <w:bottom w:val="single" w:sz="4" w:space="0" w:color="auto"/>
              <w:right w:val="nil"/>
            </w:tcBorders>
          </w:tcPr>
          <w:p w14:paraId="0893E490" w14:textId="650F35EE" w:rsidR="007C66A8" w:rsidRPr="00C80F8E" w:rsidRDefault="007C66A8" w:rsidP="007C66A8">
            <w:pPr>
              <w:jc w:val="right"/>
              <w:rPr>
                <w:rFonts w:ascii="Abadi" w:hAnsi="Abadi" w:cstheme="minorHAnsi"/>
                <w:sz w:val="20"/>
                <w:szCs w:val="20"/>
                <w:lang w:val="es-ES_tradnl"/>
              </w:rPr>
            </w:pPr>
            <w:r w:rsidRPr="00C80F8E">
              <w:rPr>
                <w:lang w:val="es-ES_tradnl"/>
              </w:rPr>
              <w:t xml:space="preserve">2,849,679.08 </w:t>
            </w:r>
          </w:p>
        </w:tc>
        <w:tc>
          <w:tcPr>
            <w:tcW w:w="2125" w:type="dxa"/>
          </w:tcPr>
          <w:p w14:paraId="2CB41C04" w14:textId="249225F5" w:rsidR="007C66A8" w:rsidRPr="00C80F8E" w:rsidRDefault="007C66A8" w:rsidP="007C66A8">
            <w:pPr>
              <w:jc w:val="right"/>
              <w:rPr>
                <w:rFonts w:ascii="Abadi" w:hAnsi="Abadi" w:cstheme="minorHAnsi"/>
                <w:sz w:val="20"/>
                <w:szCs w:val="20"/>
                <w:lang w:val="es-ES_tradnl"/>
              </w:rPr>
            </w:pPr>
            <w:r w:rsidRPr="00C80F8E">
              <w:rPr>
                <w:lang w:val="es-ES_tradnl"/>
              </w:rPr>
              <w:t xml:space="preserve">2,291,749.36 </w:t>
            </w:r>
          </w:p>
        </w:tc>
      </w:tr>
      <w:tr w:rsidR="007C66A8" w:rsidRPr="00C80F8E" w14:paraId="0B00CFBC" w14:textId="77777777" w:rsidTr="005554E7">
        <w:tc>
          <w:tcPr>
            <w:tcW w:w="4891" w:type="dxa"/>
            <w:tcBorders>
              <w:top w:val="single" w:sz="4" w:space="0" w:color="auto"/>
              <w:left w:val="single" w:sz="4" w:space="0" w:color="auto"/>
              <w:bottom w:val="single" w:sz="4" w:space="0" w:color="auto"/>
              <w:right w:val="single" w:sz="4" w:space="0" w:color="auto"/>
            </w:tcBorders>
          </w:tcPr>
          <w:p w14:paraId="604BBE25" w14:textId="48A4B9B6" w:rsidR="007C66A8" w:rsidRPr="00C80F8E" w:rsidRDefault="007C66A8" w:rsidP="007C66A8">
            <w:pPr>
              <w:rPr>
                <w:rFonts w:ascii="Abadi" w:hAnsi="Abadi" w:cstheme="minorHAnsi"/>
                <w:b/>
                <w:bCs/>
                <w:sz w:val="20"/>
                <w:szCs w:val="20"/>
                <w:lang w:val="es-ES_tradnl"/>
              </w:rPr>
            </w:pPr>
            <w:r w:rsidRPr="00C80F8E">
              <w:rPr>
                <w:lang w:val="es-ES_tradnl"/>
              </w:rPr>
              <w:t xml:space="preserve">2. Servicios básicos </w:t>
            </w:r>
          </w:p>
        </w:tc>
        <w:tc>
          <w:tcPr>
            <w:tcW w:w="2268" w:type="dxa"/>
            <w:tcBorders>
              <w:top w:val="single" w:sz="4" w:space="0" w:color="auto"/>
              <w:left w:val="single" w:sz="4" w:space="0" w:color="auto"/>
              <w:bottom w:val="single" w:sz="4" w:space="0" w:color="auto"/>
              <w:right w:val="nil"/>
            </w:tcBorders>
          </w:tcPr>
          <w:p w14:paraId="54CA8727" w14:textId="4EF17AAB" w:rsidR="007C66A8" w:rsidRPr="00C80F8E" w:rsidRDefault="007C66A8" w:rsidP="007C66A8">
            <w:pPr>
              <w:jc w:val="right"/>
              <w:rPr>
                <w:rFonts w:ascii="Abadi" w:hAnsi="Abadi" w:cstheme="minorHAnsi"/>
                <w:sz w:val="20"/>
                <w:szCs w:val="20"/>
                <w:lang w:val="es-ES_tradnl"/>
              </w:rPr>
            </w:pPr>
            <w:r w:rsidRPr="00C80F8E">
              <w:rPr>
                <w:lang w:val="es-ES_tradnl"/>
              </w:rPr>
              <w:t xml:space="preserve">1,955,466.96 </w:t>
            </w:r>
          </w:p>
        </w:tc>
        <w:tc>
          <w:tcPr>
            <w:tcW w:w="2125" w:type="dxa"/>
          </w:tcPr>
          <w:p w14:paraId="78AFCAB7" w14:textId="0CC7225A" w:rsidR="007C66A8" w:rsidRPr="00C80F8E" w:rsidRDefault="007C66A8" w:rsidP="007C66A8">
            <w:pPr>
              <w:jc w:val="right"/>
              <w:rPr>
                <w:rFonts w:ascii="Abadi" w:hAnsi="Abadi" w:cstheme="minorHAnsi"/>
                <w:sz w:val="20"/>
                <w:szCs w:val="20"/>
                <w:lang w:val="es-ES_tradnl"/>
              </w:rPr>
            </w:pPr>
            <w:r w:rsidRPr="00C80F8E">
              <w:rPr>
                <w:lang w:val="es-ES_tradnl"/>
              </w:rPr>
              <w:t xml:space="preserve">2,295,417.80 </w:t>
            </w:r>
          </w:p>
        </w:tc>
      </w:tr>
      <w:tr w:rsidR="007C66A8" w:rsidRPr="00C80F8E" w14:paraId="649D8BF0" w14:textId="77777777" w:rsidTr="005554E7">
        <w:tc>
          <w:tcPr>
            <w:tcW w:w="4891" w:type="dxa"/>
            <w:tcBorders>
              <w:top w:val="single" w:sz="4" w:space="0" w:color="auto"/>
              <w:left w:val="single" w:sz="4" w:space="0" w:color="auto"/>
              <w:bottom w:val="single" w:sz="4" w:space="0" w:color="auto"/>
              <w:right w:val="single" w:sz="4" w:space="0" w:color="auto"/>
            </w:tcBorders>
          </w:tcPr>
          <w:p w14:paraId="392E1F83" w14:textId="19015B6C" w:rsidR="007C66A8" w:rsidRPr="00C80F8E" w:rsidRDefault="007C66A8" w:rsidP="007C66A8">
            <w:pPr>
              <w:rPr>
                <w:rFonts w:ascii="Abadi" w:hAnsi="Abadi" w:cstheme="minorHAnsi"/>
                <w:b/>
                <w:bCs/>
                <w:sz w:val="20"/>
                <w:szCs w:val="20"/>
                <w:lang w:val="es-ES_tradnl"/>
              </w:rPr>
            </w:pPr>
            <w:r w:rsidRPr="00C80F8E">
              <w:rPr>
                <w:lang w:val="es-ES_tradnl"/>
              </w:rPr>
              <w:t xml:space="preserve">3. Publicidad, impresos y encuadernaciones </w:t>
            </w:r>
          </w:p>
        </w:tc>
        <w:tc>
          <w:tcPr>
            <w:tcW w:w="2268" w:type="dxa"/>
            <w:tcBorders>
              <w:top w:val="single" w:sz="4" w:space="0" w:color="auto"/>
              <w:left w:val="single" w:sz="4" w:space="0" w:color="auto"/>
              <w:bottom w:val="single" w:sz="4" w:space="0" w:color="auto"/>
              <w:right w:val="nil"/>
            </w:tcBorders>
          </w:tcPr>
          <w:p w14:paraId="397BB19E" w14:textId="771FCA49" w:rsidR="007C66A8" w:rsidRPr="00C80F8E" w:rsidRDefault="007C66A8" w:rsidP="007C66A8">
            <w:pPr>
              <w:jc w:val="right"/>
              <w:rPr>
                <w:rFonts w:ascii="Abadi" w:hAnsi="Abadi" w:cstheme="minorHAnsi"/>
                <w:sz w:val="20"/>
                <w:szCs w:val="20"/>
                <w:lang w:val="es-ES_tradnl"/>
              </w:rPr>
            </w:pPr>
            <w:r w:rsidRPr="00C80F8E">
              <w:rPr>
                <w:lang w:val="es-ES_tradnl"/>
              </w:rPr>
              <w:t xml:space="preserve">4,456,310.36 </w:t>
            </w:r>
          </w:p>
        </w:tc>
        <w:tc>
          <w:tcPr>
            <w:tcW w:w="2125" w:type="dxa"/>
          </w:tcPr>
          <w:p w14:paraId="5959C9BF" w14:textId="44A5A391" w:rsidR="007C66A8" w:rsidRPr="00C80F8E" w:rsidRDefault="007C66A8" w:rsidP="007C66A8">
            <w:pPr>
              <w:jc w:val="right"/>
              <w:rPr>
                <w:rFonts w:ascii="Abadi" w:hAnsi="Abadi" w:cstheme="minorHAnsi"/>
                <w:sz w:val="20"/>
                <w:szCs w:val="20"/>
                <w:lang w:val="es-ES_tradnl"/>
              </w:rPr>
            </w:pPr>
            <w:r w:rsidRPr="00C80F8E">
              <w:rPr>
                <w:lang w:val="es-ES_tradnl"/>
              </w:rPr>
              <w:t xml:space="preserve">3,076,927.23 </w:t>
            </w:r>
          </w:p>
        </w:tc>
      </w:tr>
      <w:tr w:rsidR="007C66A8" w:rsidRPr="00C80F8E" w14:paraId="33EBA694" w14:textId="77777777" w:rsidTr="005554E7">
        <w:tc>
          <w:tcPr>
            <w:tcW w:w="4891" w:type="dxa"/>
            <w:tcBorders>
              <w:top w:val="single" w:sz="4" w:space="0" w:color="auto"/>
              <w:left w:val="single" w:sz="4" w:space="0" w:color="auto"/>
              <w:bottom w:val="single" w:sz="4" w:space="0" w:color="auto"/>
              <w:right w:val="single" w:sz="4" w:space="0" w:color="auto"/>
            </w:tcBorders>
          </w:tcPr>
          <w:p w14:paraId="0B0E5114" w14:textId="46CA9545" w:rsidR="007C66A8" w:rsidRPr="00C80F8E" w:rsidRDefault="007C66A8" w:rsidP="007C66A8">
            <w:pPr>
              <w:rPr>
                <w:rFonts w:ascii="Abadi" w:hAnsi="Abadi" w:cstheme="minorHAnsi"/>
                <w:b/>
                <w:bCs/>
                <w:sz w:val="20"/>
                <w:szCs w:val="20"/>
                <w:lang w:val="es-ES_tradnl"/>
              </w:rPr>
            </w:pPr>
            <w:r w:rsidRPr="00C80F8E">
              <w:rPr>
                <w:lang w:val="es-ES_tradnl"/>
              </w:rPr>
              <w:t xml:space="preserve">4. Viáticos dentro y fuera del país </w:t>
            </w:r>
          </w:p>
        </w:tc>
        <w:tc>
          <w:tcPr>
            <w:tcW w:w="2268" w:type="dxa"/>
            <w:tcBorders>
              <w:top w:val="single" w:sz="4" w:space="0" w:color="auto"/>
              <w:left w:val="single" w:sz="4" w:space="0" w:color="auto"/>
              <w:bottom w:val="single" w:sz="4" w:space="0" w:color="auto"/>
              <w:right w:val="nil"/>
            </w:tcBorders>
          </w:tcPr>
          <w:p w14:paraId="3F492C68" w14:textId="35D77D70" w:rsidR="007C66A8" w:rsidRPr="00C80F8E" w:rsidRDefault="007C66A8" w:rsidP="007C66A8">
            <w:pPr>
              <w:jc w:val="right"/>
              <w:rPr>
                <w:rFonts w:ascii="Abadi" w:hAnsi="Abadi" w:cstheme="minorHAnsi"/>
                <w:sz w:val="20"/>
                <w:szCs w:val="20"/>
                <w:lang w:val="es-ES_tradnl"/>
              </w:rPr>
            </w:pPr>
            <w:r w:rsidRPr="00C80F8E">
              <w:rPr>
                <w:lang w:val="es-ES_tradnl"/>
              </w:rPr>
              <w:t xml:space="preserve">588,925.70 </w:t>
            </w:r>
          </w:p>
        </w:tc>
        <w:tc>
          <w:tcPr>
            <w:tcW w:w="2125" w:type="dxa"/>
          </w:tcPr>
          <w:p w14:paraId="753957D6" w14:textId="63406D51" w:rsidR="007C66A8" w:rsidRPr="00C80F8E" w:rsidRDefault="007C66A8" w:rsidP="007C66A8">
            <w:pPr>
              <w:jc w:val="right"/>
              <w:rPr>
                <w:rFonts w:ascii="Abadi" w:hAnsi="Abadi" w:cstheme="minorHAnsi"/>
                <w:sz w:val="20"/>
                <w:szCs w:val="20"/>
                <w:lang w:val="es-ES_tradnl"/>
              </w:rPr>
            </w:pPr>
            <w:r w:rsidRPr="00C80F8E">
              <w:rPr>
                <w:lang w:val="es-ES_tradnl"/>
              </w:rPr>
              <w:t xml:space="preserve">503,227.90 </w:t>
            </w:r>
          </w:p>
        </w:tc>
      </w:tr>
      <w:tr w:rsidR="007C66A8" w:rsidRPr="00C80F8E" w14:paraId="70C8BC0C" w14:textId="77777777" w:rsidTr="005554E7">
        <w:tc>
          <w:tcPr>
            <w:tcW w:w="4891" w:type="dxa"/>
            <w:tcBorders>
              <w:top w:val="single" w:sz="4" w:space="0" w:color="auto"/>
              <w:left w:val="single" w:sz="4" w:space="0" w:color="auto"/>
              <w:bottom w:val="single" w:sz="4" w:space="0" w:color="auto"/>
              <w:right w:val="single" w:sz="4" w:space="0" w:color="auto"/>
            </w:tcBorders>
          </w:tcPr>
          <w:p w14:paraId="72623CBA" w14:textId="345BBC7D" w:rsidR="007C66A8" w:rsidRPr="00C80F8E" w:rsidRDefault="007C66A8" w:rsidP="007C66A8">
            <w:pPr>
              <w:rPr>
                <w:rFonts w:ascii="Abadi" w:hAnsi="Abadi" w:cstheme="minorHAnsi"/>
                <w:b/>
                <w:bCs/>
                <w:sz w:val="20"/>
                <w:szCs w:val="20"/>
                <w:lang w:val="es-ES_tradnl"/>
              </w:rPr>
            </w:pPr>
            <w:r w:rsidRPr="00C80F8E">
              <w:rPr>
                <w:lang w:val="es-ES_tradnl"/>
              </w:rPr>
              <w:t xml:space="preserve">5. Transporte y almacenaje </w:t>
            </w:r>
          </w:p>
        </w:tc>
        <w:tc>
          <w:tcPr>
            <w:tcW w:w="2268" w:type="dxa"/>
            <w:tcBorders>
              <w:top w:val="single" w:sz="4" w:space="0" w:color="auto"/>
              <w:left w:val="single" w:sz="4" w:space="0" w:color="auto"/>
              <w:bottom w:val="single" w:sz="4" w:space="0" w:color="auto"/>
              <w:right w:val="nil"/>
            </w:tcBorders>
          </w:tcPr>
          <w:p w14:paraId="3DC097EB" w14:textId="7796D7D0" w:rsidR="007C66A8" w:rsidRPr="00C80F8E" w:rsidRDefault="007C66A8" w:rsidP="007C66A8">
            <w:pPr>
              <w:jc w:val="right"/>
              <w:rPr>
                <w:rFonts w:ascii="Abadi" w:hAnsi="Abadi" w:cstheme="minorHAnsi"/>
                <w:sz w:val="20"/>
                <w:szCs w:val="20"/>
                <w:lang w:val="es-ES_tradnl"/>
              </w:rPr>
            </w:pPr>
            <w:r w:rsidRPr="00C80F8E">
              <w:rPr>
                <w:lang w:val="es-ES_tradnl"/>
              </w:rPr>
              <w:t xml:space="preserve">422,622.79 </w:t>
            </w:r>
          </w:p>
        </w:tc>
        <w:tc>
          <w:tcPr>
            <w:tcW w:w="2125" w:type="dxa"/>
          </w:tcPr>
          <w:p w14:paraId="2090DF06" w14:textId="7ACA34BB" w:rsidR="007C66A8" w:rsidRPr="00C80F8E" w:rsidRDefault="007C66A8" w:rsidP="007C66A8">
            <w:pPr>
              <w:jc w:val="right"/>
              <w:rPr>
                <w:rFonts w:ascii="Abadi" w:hAnsi="Abadi" w:cstheme="minorHAnsi"/>
                <w:sz w:val="20"/>
                <w:szCs w:val="20"/>
                <w:lang w:val="es-ES_tradnl"/>
              </w:rPr>
            </w:pPr>
            <w:r w:rsidRPr="00C80F8E">
              <w:rPr>
                <w:lang w:val="es-ES_tradnl"/>
              </w:rPr>
              <w:t xml:space="preserve">508,543.40 </w:t>
            </w:r>
          </w:p>
        </w:tc>
      </w:tr>
      <w:tr w:rsidR="007C66A8" w:rsidRPr="00C80F8E" w14:paraId="5BAAB55A" w14:textId="77777777" w:rsidTr="005554E7">
        <w:tc>
          <w:tcPr>
            <w:tcW w:w="4891" w:type="dxa"/>
            <w:tcBorders>
              <w:top w:val="single" w:sz="4" w:space="0" w:color="auto"/>
              <w:left w:val="single" w:sz="4" w:space="0" w:color="auto"/>
              <w:bottom w:val="single" w:sz="4" w:space="0" w:color="auto"/>
              <w:right w:val="single" w:sz="4" w:space="0" w:color="auto"/>
            </w:tcBorders>
          </w:tcPr>
          <w:p w14:paraId="5FE31484" w14:textId="3D4CBF45" w:rsidR="007C66A8" w:rsidRPr="00C80F8E" w:rsidRDefault="007C66A8" w:rsidP="007C66A8">
            <w:pPr>
              <w:rPr>
                <w:rFonts w:ascii="Abadi" w:hAnsi="Abadi" w:cstheme="minorHAnsi"/>
                <w:b/>
                <w:bCs/>
                <w:sz w:val="20"/>
                <w:szCs w:val="20"/>
                <w:lang w:val="es-ES_tradnl"/>
              </w:rPr>
            </w:pPr>
            <w:r w:rsidRPr="00C80F8E">
              <w:rPr>
                <w:lang w:val="es-ES_tradnl"/>
              </w:rPr>
              <w:t xml:space="preserve">6. Alquileres </w:t>
            </w:r>
          </w:p>
        </w:tc>
        <w:tc>
          <w:tcPr>
            <w:tcW w:w="2268" w:type="dxa"/>
            <w:tcBorders>
              <w:top w:val="single" w:sz="4" w:space="0" w:color="auto"/>
              <w:left w:val="single" w:sz="4" w:space="0" w:color="auto"/>
              <w:bottom w:val="single" w:sz="4" w:space="0" w:color="auto"/>
              <w:right w:val="nil"/>
            </w:tcBorders>
          </w:tcPr>
          <w:p w14:paraId="2596E50B" w14:textId="31911818" w:rsidR="007C66A8" w:rsidRPr="00C80F8E" w:rsidRDefault="007C66A8" w:rsidP="007C66A8">
            <w:pPr>
              <w:jc w:val="right"/>
              <w:rPr>
                <w:rFonts w:ascii="Abadi" w:hAnsi="Abadi" w:cstheme="minorHAnsi"/>
                <w:sz w:val="20"/>
                <w:szCs w:val="20"/>
                <w:lang w:val="es-ES_tradnl"/>
              </w:rPr>
            </w:pPr>
            <w:r w:rsidRPr="00C80F8E">
              <w:rPr>
                <w:lang w:val="es-ES_tradnl"/>
              </w:rPr>
              <w:t xml:space="preserve">3,664,526.98 </w:t>
            </w:r>
          </w:p>
        </w:tc>
        <w:tc>
          <w:tcPr>
            <w:tcW w:w="2125" w:type="dxa"/>
          </w:tcPr>
          <w:p w14:paraId="28DDAFB7" w14:textId="0EDB7D41" w:rsidR="007C66A8" w:rsidRPr="00C80F8E" w:rsidRDefault="007C66A8" w:rsidP="007C66A8">
            <w:pPr>
              <w:jc w:val="right"/>
              <w:rPr>
                <w:rFonts w:ascii="Abadi" w:hAnsi="Abadi" w:cstheme="minorHAnsi"/>
                <w:sz w:val="20"/>
                <w:szCs w:val="20"/>
                <w:lang w:val="es-ES_tradnl"/>
              </w:rPr>
            </w:pPr>
            <w:r w:rsidRPr="00C80F8E">
              <w:rPr>
                <w:lang w:val="es-ES_tradnl"/>
              </w:rPr>
              <w:t xml:space="preserve">2,099,214.97 </w:t>
            </w:r>
          </w:p>
        </w:tc>
      </w:tr>
      <w:tr w:rsidR="007C66A8" w:rsidRPr="00C80F8E" w14:paraId="49EBE786" w14:textId="77777777" w:rsidTr="005554E7">
        <w:tc>
          <w:tcPr>
            <w:tcW w:w="4891" w:type="dxa"/>
            <w:tcBorders>
              <w:top w:val="single" w:sz="4" w:space="0" w:color="auto"/>
              <w:left w:val="single" w:sz="4" w:space="0" w:color="auto"/>
              <w:bottom w:val="single" w:sz="4" w:space="0" w:color="auto"/>
              <w:right w:val="single" w:sz="4" w:space="0" w:color="auto"/>
            </w:tcBorders>
          </w:tcPr>
          <w:p w14:paraId="3EFC2E8A" w14:textId="2F403A1C" w:rsidR="007C66A8" w:rsidRPr="00C80F8E" w:rsidRDefault="007C66A8" w:rsidP="007C66A8">
            <w:pPr>
              <w:rPr>
                <w:rFonts w:ascii="Abadi" w:hAnsi="Abadi" w:cstheme="minorHAnsi"/>
                <w:b/>
                <w:bCs/>
                <w:sz w:val="20"/>
                <w:szCs w:val="20"/>
                <w:lang w:val="es-ES_tradnl"/>
              </w:rPr>
            </w:pPr>
            <w:r w:rsidRPr="00C80F8E">
              <w:rPr>
                <w:lang w:val="es-ES_tradnl"/>
              </w:rPr>
              <w:t xml:space="preserve">7. Seguros </w:t>
            </w:r>
          </w:p>
        </w:tc>
        <w:tc>
          <w:tcPr>
            <w:tcW w:w="2268" w:type="dxa"/>
            <w:tcBorders>
              <w:top w:val="single" w:sz="4" w:space="0" w:color="auto"/>
              <w:left w:val="single" w:sz="4" w:space="0" w:color="auto"/>
              <w:bottom w:val="single" w:sz="4" w:space="0" w:color="auto"/>
              <w:right w:val="nil"/>
            </w:tcBorders>
          </w:tcPr>
          <w:p w14:paraId="6B922CBC" w14:textId="524F85C2" w:rsidR="007C66A8" w:rsidRPr="00C80F8E" w:rsidRDefault="007C66A8" w:rsidP="007C66A8">
            <w:pPr>
              <w:jc w:val="right"/>
              <w:rPr>
                <w:rFonts w:ascii="Abadi" w:hAnsi="Abadi" w:cstheme="minorHAnsi"/>
                <w:sz w:val="20"/>
                <w:szCs w:val="20"/>
                <w:lang w:val="es-ES_tradnl"/>
              </w:rPr>
            </w:pPr>
            <w:r w:rsidRPr="00C80F8E">
              <w:rPr>
                <w:lang w:val="es-ES_tradnl"/>
              </w:rPr>
              <w:t xml:space="preserve">7,642,031.67 </w:t>
            </w:r>
          </w:p>
        </w:tc>
        <w:tc>
          <w:tcPr>
            <w:tcW w:w="2125" w:type="dxa"/>
          </w:tcPr>
          <w:p w14:paraId="61CB28DF" w14:textId="42C8F16E" w:rsidR="007C66A8" w:rsidRPr="00C80F8E" w:rsidRDefault="007C66A8" w:rsidP="007C66A8">
            <w:pPr>
              <w:jc w:val="right"/>
              <w:rPr>
                <w:rFonts w:ascii="Abadi" w:hAnsi="Abadi" w:cstheme="minorHAnsi"/>
                <w:sz w:val="20"/>
                <w:szCs w:val="20"/>
                <w:lang w:val="es-ES_tradnl"/>
              </w:rPr>
            </w:pPr>
            <w:r w:rsidRPr="00C80F8E">
              <w:rPr>
                <w:lang w:val="es-ES_tradnl"/>
              </w:rPr>
              <w:t xml:space="preserve">6,085,608.08 </w:t>
            </w:r>
          </w:p>
        </w:tc>
      </w:tr>
      <w:tr w:rsidR="007C66A8" w:rsidRPr="00C80F8E" w14:paraId="0930A1E9" w14:textId="77777777" w:rsidTr="005554E7">
        <w:tc>
          <w:tcPr>
            <w:tcW w:w="4891" w:type="dxa"/>
            <w:tcBorders>
              <w:top w:val="single" w:sz="4" w:space="0" w:color="auto"/>
              <w:left w:val="single" w:sz="4" w:space="0" w:color="auto"/>
              <w:bottom w:val="single" w:sz="4" w:space="0" w:color="auto"/>
              <w:right w:val="single" w:sz="4" w:space="0" w:color="auto"/>
            </w:tcBorders>
          </w:tcPr>
          <w:p w14:paraId="7A1DEAD3" w14:textId="401E4398" w:rsidR="007C66A8" w:rsidRPr="00C80F8E" w:rsidRDefault="007C66A8" w:rsidP="007C66A8">
            <w:pPr>
              <w:rPr>
                <w:rFonts w:ascii="Abadi" w:hAnsi="Abadi" w:cstheme="minorHAnsi"/>
                <w:b/>
                <w:bCs/>
                <w:sz w:val="20"/>
                <w:szCs w:val="20"/>
                <w:lang w:val="es-ES_tradnl"/>
              </w:rPr>
            </w:pPr>
            <w:r w:rsidRPr="00C80F8E">
              <w:rPr>
                <w:lang w:val="es-ES_tradnl"/>
              </w:rPr>
              <w:t xml:space="preserve">8. Conservación, reparaciones menores y construcciones </w:t>
            </w:r>
          </w:p>
        </w:tc>
        <w:tc>
          <w:tcPr>
            <w:tcW w:w="2268" w:type="dxa"/>
            <w:tcBorders>
              <w:top w:val="single" w:sz="4" w:space="0" w:color="auto"/>
              <w:left w:val="single" w:sz="4" w:space="0" w:color="auto"/>
              <w:bottom w:val="single" w:sz="4" w:space="0" w:color="auto"/>
              <w:right w:val="nil"/>
            </w:tcBorders>
          </w:tcPr>
          <w:p w14:paraId="68C6971D" w14:textId="456EC1E8" w:rsidR="007C66A8" w:rsidRPr="00C80F8E" w:rsidRDefault="007C66A8" w:rsidP="007C66A8">
            <w:pPr>
              <w:jc w:val="right"/>
              <w:rPr>
                <w:rFonts w:ascii="Abadi" w:hAnsi="Abadi" w:cstheme="minorHAnsi"/>
                <w:sz w:val="20"/>
                <w:szCs w:val="20"/>
                <w:lang w:val="es-ES_tradnl"/>
              </w:rPr>
            </w:pPr>
            <w:r w:rsidRPr="00C80F8E">
              <w:rPr>
                <w:lang w:val="es-ES_tradnl"/>
              </w:rPr>
              <w:t xml:space="preserve">102,756.05 </w:t>
            </w:r>
          </w:p>
        </w:tc>
        <w:tc>
          <w:tcPr>
            <w:tcW w:w="2125" w:type="dxa"/>
          </w:tcPr>
          <w:p w14:paraId="25A0141F" w14:textId="31E2D2FE" w:rsidR="007C66A8" w:rsidRPr="00C80F8E" w:rsidRDefault="007C66A8" w:rsidP="007C66A8">
            <w:pPr>
              <w:jc w:val="right"/>
              <w:rPr>
                <w:rFonts w:ascii="Abadi" w:hAnsi="Abadi" w:cstheme="minorHAnsi"/>
                <w:sz w:val="20"/>
                <w:szCs w:val="20"/>
                <w:lang w:val="es-ES_tradnl"/>
              </w:rPr>
            </w:pPr>
          </w:p>
        </w:tc>
      </w:tr>
      <w:tr w:rsidR="007C66A8" w:rsidRPr="00C80F8E" w14:paraId="278E5C76" w14:textId="77777777" w:rsidTr="005554E7">
        <w:tc>
          <w:tcPr>
            <w:tcW w:w="4891" w:type="dxa"/>
            <w:tcBorders>
              <w:top w:val="single" w:sz="4" w:space="0" w:color="auto"/>
              <w:left w:val="single" w:sz="4" w:space="0" w:color="auto"/>
              <w:bottom w:val="single" w:sz="4" w:space="0" w:color="auto"/>
              <w:right w:val="single" w:sz="4" w:space="0" w:color="auto"/>
            </w:tcBorders>
          </w:tcPr>
          <w:p w14:paraId="29C02769" w14:textId="6AE702BA" w:rsidR="007C66A8" w:rsidRPr="00C80F8E" w:rsidRDefault="007C66A8" w:rsidP="007C66A8">
            <w:pPr>
              <w:rPr>
                <w:rFonts w:ascii="Abadi" w:hAnsi="Abadi" w:cstheme="minorHAnsi"/>
                <w:b/>
                <w:bCs/>
                <w:sz w:val="20"/>
                <w:szCs w:val="20"/>
                <w:lang w:val="es-ES_tradnl"/>
              </w:rPr>
            </w:pPr>
            <w:r w:rsidRPr="00C80F8E">
              <w:rPr>
                <w:lang w:val="es-ES_tradnl"/>
              </w:rPr>
              <w:t xml:space="preserve">9. Servicios de mantenimiento y reparación de bienes </w:t>
            </w:r>
          </w:p>
        </w:tc>
        <w:tc>
          <w:tcPr>
            <w:tcW w:w="2268" w:type="dxa"/>
            <w:tcBorders>
              <w:top w:val="single" w:sz="4" w:space="0" w:color="auto"/>
              <w:left w:val="single" w:sz="4" w:space="0" w:color="auto"/>
              <w:bottom w:val="single" w:sz="4" w:space="0" w:color="auto"/>
              <w:right w:val="nil"/>
            </w:tcBorders>
          </w:tcPr>
          <w:p w14:paraId="4BB4B0B9" w14:textId="51CC0262" w:rsidR="007C66A8" w:rsidRPr="00C80F8E" w:rsidRDefault="007C66A8" w:rsidP="007C66A8">
            <w:pPr>
              <w:jc w:val="right"/>
              <w:rPr>
                <w:rFonts w:ascii="Abadi" w:hAnsi="Abadi" w:cstheme="minorHAnsi"/>
                <w:sz w:val="20"/>
                <w:szCs w:val="20"/>
                <w:lang w:val="es-ES_tradnl"/>
              </w:rPr>
            </w:pPr>
            <w:r w:rsidRPr="00C80F8E">
              <w:rPr>
                <w:lang w:val="es-ES_tradnl"/>
              </w:rPr>
              <w:t xml:space="preserve">421,992.71 </w:t>
            </w:r>
          </w:p>
        </w:tc>
        <w:tc>
          <w:tcPr>
            <w:tcW w:w="2125" w:type="dxa"/>
          </w:tcPr>
          <w:p w14:paraId="6DEC9148" w14:textId="5653B1E6" w:rsidR="007C66A8" w:rsidRPr="00C80F8E" w:rsidRDefault="007C66A8" w:rsidP="007C66A8">
            <w:pPr>
              <w:jc w:val="right"/>
              <w:rPr>
                <w:rFonts w:ascii="Abadi" w:hAnsi="Abadi" w:cstheme="minorHAnsi"/>
                <w:sz w:val="20"/>
                <w:szCs w:val="20"/>
                <w:lang w:val="es-ES_tradnl"/>
              </w:rPr>
            </w:pPr>
            <w:r w:rsidRPr="00C80F8E">
              <w:rPr>
                <w:lang w:val="es-ES_tradnl"/>
              </w:rPr>
              <w:t xml:space="preserve">412,127.85 </w:t>
            </w:r>
          </w:p>
        </w:tc>
      </w:tr>
      <w:tr w:rsidR="007C66A8" w:rsidRPr="00C80F8E" w14:paraId="26D1F3EF" w14:textId="77777777" w:rsidTr="005554E7">
        <w:tc>
          <w:tcPr>
            <w:tcW w:w="4891" w:type="dxa"/>
            <w:tcBorders>
              <w:top w:val="single" w:sz="4" w:space="0" w:color="auto"/>
              <w:left w:val="single" w:sz="4" w:space="0" w:color="auto"/>
              <w:bottom w:val="single" w:sz="4" w:space="0" w:color="auto"/>
              <w:right w:val="single" w:sz="4" w:space="0" w:color="auto"/>
            </w:tcBorders>
          </w:tcPr>
          <w:p w14:paraId="7D3B9084" w14:textId="7FB3C3D1" w:rsidR="007C66A8" w:rsidRPr="00C80F8E" w:rsidRDefault="007C66A8" w:rsidP="007C66A8">
            <w:pPr>
              <w:rPr>
                <w:rFonts w:ascii="Abadi" w:hAnsi="Abadi" w:cstheme="minorHAnsi"/>
                <w:color w:val="000000"/>
                <w:sz w:val="20"/>
                <w:szCs w:val="20"/>
                <w:lang w:val="es-ES_tradnl"/>
              </w:rPr>
            </w:pPr>
            <w:r w:rsidRPr="00C80F8E">
              <w:rPr>
                <w:lang w:val="es-ES_tradnl"/>
              </w:rPr>
              <w:t xml:space="preserve">10. Otros servicios no personales </w:t>
            </w:r>
          </w:p>
        </w:tc>
        <w:tc>
          <w:tcPr>
            <w:tcW w:w="2268" w:type="dxa"/>
            <w:tcBorders>
              <w:top w:val="single" w:sz="4" w:space="0" w:color="auto"/>
              <w:left w:val="single" w:sz="4" w:space="0" w:color="auto"/>
              <w:bottom w:val="single" w:sz="12" w:space="0" w:color="auto"/>
              <w:right w:val="nil"/>
            </w:tcBorders>
          </w:tcPr>
          <w:p w14:paraId="71241455" w14:textId="62AE2E98" w:rsidR="007C66A8" w:rsidRPr="00C80F8E" w:rsidRDefault="007C66A8" w:rsidP="007C66A8">
            <w:pPr>
              <w:jc w:val="right"/>
              <w:rPr>
                <w:rFonts w:ascii="Abadi" w:hAnsi="Abadi" w:cstheme="minorHAnsi"/>
                <w:sz w:val="20"/>
                <w:szCs w:val="20"/>
                <w:lang w:val="es-ES_tradnl"/>
              </w:rPr>
            </w:pPr>
            <w:r w:rsidRPr="00C80F8E">
              <w:rPr>
                <w:lang w:val="es-ES_tradnl"/>
              </w:rPr>
              <w:t xml:space="preserve">26,056,735.72 </w:t>
            </w:r>
          </w:p>
        </w:tc>
        <w:tc>
          <w:tcPr>
            <w:tcW w:w="2125" w:type="dxa"/>
            <w:tcBorders>
              <w:bottom w:val="single" w:sz="12" w:space="0" w:color="auto"/>
            </w:tcBorders>
          </w:tcPr>
          <w:p w14:paraId="102CEECD" w14:textId="255E7034" w:rsidR="007C66A8" w:rsidRPr="00C80F8E" w:rsidRDefault="007C66A8" w:rsidP="007C66A8">
            <w:pPr>
              <w:jc w:val="right"/>
              <w:rPr>
                <w:rFonts w:ascii="Abadi" w:hAnsi="Abadi" w:cstheme="minorHAnsi"/>
                <w:sz w:val="20"/>
                <w:szCs w:val="20"/>
                <w:lang w:val="es-ES_tradnl"/>
              </w:rPr>
            </w:pPr>
            <w:r w:rsidRPr="00C80F8E">
              <w:rPr>
                <w:lang w:val="es-ES_tradnl"/>
              </w:rPr>
              <w:t xml:space="preserve">17,571,772.19 </w:t>
            </w:r>
          </w:p>
        </w:tc>
      </w:tr>
      <w:tr w:rsidR="003375D8" w:rsidRPr="00C80F8E" w14:paraId="1CCE2983" w14:textId="77777777" w:rsidTr="005554E7">
        <w:tc>
          <w:tcPr>
            <w:tcW w:w="4891" w:type="dxa"/>
            <w:tcBorders>
              <w:top w:val="single" w:sz="4" w:space="0" w:color="auto"/>
            </w:tcBorders>
          </w:tcPr>
          <w:p w14:paraId="15A15085" w14:textId="77777777" w:rsidR="003375D8" w:rsidRPr="00C80F8E" w:rsidRDefault="003375D8" w:rsidP="005554E7">
            <w:pPr>
              <w:jc w:val="right"/>
              <w:rPr>
                <w:rFonts w:ascii="Abadi" w:hAnsi="Abadi" w:cstheme="minorHAnsi"/>
                <w:sz w:val="20"/>
                <w:szCs w:val="20"/>
                <w:lang w:val="es-ES_tradnl"/>
              </w:rPr>
            </w:pPr>
            <w:r w:rsidRPr="00C80F8E">
              <w:rPr>
                <w:rFonts w:ascii="Abadi" w:hAnsi="Abadi" w:cstheme="minorHAnsi"/>
                <w:sz w:val="20"/>
                <w:szCs w:val="20"/>
                <w:lang w:val="es-ES_tradnl"/>
              </w:rPr>
              <w:t xml:space="preserve">Total </w:t>
            </w:r>
          </w:p>
        </w:tc>
        <w:tc>
          <w:tcPr>
            <w:tcW w:w="2268" w:type="dxa"/>
            <w:tcBorders>
              <w:top w:val="single" w:sz="12" w:space="0" w:color="auto"/>
              <w:bottom w:val="double" w:sz="4" w:space="0" w:color="auto"/>
            </w:tcBorders>
          </w:tcPr>
          <w:p w14:paraId="689AAE32" w14:textId="5DE9CC43" w:rsidR="003375D8" w:rsidRPr="00C80F8E" w:rsidRDefault="007C66A8" w:rsidP="005554E7">
            <w:pPr>
              <w:jc w:val="right"/>
              <w:rPr>
                <w:rFonts w:ascii="Abadi" w:hAnsi="Abadi" w:cs="Arial"/>
                <w:b/>
                <w:bCs/>
                <w:color w:val="000000"/>
                <w:sz w:val="20"/>
                <w:szCs w:val="20"/>
                <w:lang w:val="es-ES_tradnl"/>
              </w:rPr>
            </w:pPr>
            <w:r w:rsidRPr="00C80F8E">
              <w:rPr>
                <w:rFonts w:ascii="Abadi" w:hAnsi="Abadi" w:cs="Arial"/>
                <w:b/>
                <w:bCs/>
                <w:color w:val="000000"/>
                <w:sz w:val="20"/>
                <w:szCs w:val="20"/>
                <w:lang w:val="es-ES_tradnl"/>
              </w:rPr>
              <w:t>48,161,048.02</w:t>
            </w:r>
          </w:p>
        </w:tc>
        <w:tc>
          <w:tcPr>
            <w:tcW w:w="2125" w:type="dxa"/>
            <w:tcBorders>
              <w:top w:val="single" w:sz="12" w:space="0" w:color="auto"/>
              <w:bottom w:val="double" w:sz="4" w:space="0" w:color="auto"/>
            </w:tcBorders>
          </w:tcPr>
          <w:p w14:paraId="111990A1" w14:textId="54263972" w:rsidR="003375D8" w:rsidRPr="00C80F8E" w:rsidRDefault="00A7606E" w:rsidP="005554E7">
            <w:pPr>
              <w:jc w:val="right"/>
              <w:rPr>
                <w:rFonts w:ascii="Abadi" w:hAnsi="Abadi" w:cstheme="minorHAnsi"/>
                <w:b/>
                <w:bCs/>
                <w:sz w:val="20"/>
                <w:szCs w:val="20"/>
                <w:lang w:val="es-ES_tradnl"/>
              </w:rPr>
            </w:pPr>
            <w:r w:rsidRPr="00C80F8E">
              <w:rPr>
                <w:rFonts w:ascii="Abadi" w:hAnsi="Abadi" w:cstheme="minorHAnsi"/>
                <w:b/>
                <w:bCs/>
                <w:sz w:val="20"/>
                <w:szCs w:val="20"/>
                <w:lang w:val="es-ES_tradnl"/>
              </w:rPr>
              <w:t>34,844</w:t>
            </w:r>
            <w:r w:rsidR="00041B5F">
              <w:rPr>
                <w:rFonts w:ascii="Abadi" w:hAnsi="Abadi" w:cstheme="minorHAnsi"/>
                <w:b/>
                <w:bCs/>
                <w:sz w:val="20"/>
                <w:szCs w:val="20"/>
                <w:lang w:val="es-ES_tradnl"/>
              </w:rPr>
              <w:t>,</w:t>
            </w:r>
            <w:r w:rsidRPr="00C80F8E">
              <w:rPr>
                <w:rFonts w:ascii="Abadi" w:hAnsi="Abadi" w:cstheme="minorHAnsi"/>
                <w:b/>
                <w:bCs/>
                <w:sz w:val="20"/>
                <w:szCs w:val="20"/>
                <w:lang w:val="es-ES_tradnl"/>
              </w:rPr>
              <w:t>588.78</w:t>
            </w:r>
          </w:p>
        </w:tc>
      </w:tr>
      <w:bookmarkEnd w:id="57"/>
    </w:tbl>
    <w:p w14:paraId="13A967E5" w14:textId="77777777" w:rsidR="003375D8" w:rsidRPr="00C80F8E" w:rsidRDefault="003375D8" w:rsidP="00626332">
      <w:pPr>
        <w:jc w:val="both"/>
        <w:rPr>
          <w:rFonts w:ascii="Abadi" w:hAnsi="Abadi" w:cstheme="minorHAnsi"/>
          <w:bCs/>
          <w:sz w:val="20"/>
          <w:szCs w:val="20"/>
          <w:lang w:val="es-ES_tradnl"/>
        </w:rPr>
      </w:pPr>
    </w:p>
    <w:tbl>
      <w:tblPr>
        <w:tblStyle w:val="Tablaconcuadrcula"/>
        <w:tblW w:w="0" w:type="auto"/>
        <w:tblInd w:w="66" w:type="dxa"/>
        <w:tblLook w:val="04A0" w:firstRow="1" w:lastRow="0" w:firstColumn="1" w:lastColumn="0" w:noHBand="0" w:noVBand="1"/>
      </w:tblPr>
      <w:tblGrid>
        <w:gridCol w:w="4891"/>
        <w:gridCol w:w="2268"/>
        <w:gridCol w:w="2125"/>
      </w:tblGrid>
      <w:tr w:rsidR="00452B79" w:rsidRPr="00C80F8E" w14:paraId="116083E7" w14:textId="77777777" w:rsidTr="006C2D82">
        <w:tc>
          <w:tcPr>
            <w:tcW w:w="4891" w:type="dxa"/>
            <w:tcBorders>
              <w:bottom w:val="single" w:sz="4" w:space="0" w:color="auto"/>
            </w:tcBorders>
            <w:shd w:val="clear" w:color="auto" w:fill="0070C0"/>
          </w:tcPr>
          <w:p w14:paraId="7BC97A8F" w14:textId="77777777" w:rsidR="00452B79" w:rsidRPr="00C80F8E" w:rsidRDefault="00452B79"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tcBorders>
              <w:bottom w:val="single" w:sz="4" w:space="0" w:color="auto"/>
            </w:tcBorders>
            <w:shd w:val="clear" w:color="auto" w:fill="0070C0"/>
          </w:tcPr>
          <w:p w14:paraId="7B6FA938" w14:textId="160525A5" w:rsidR="00452B79"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4713D6" w:rsidRPr="00C80F8E">
              <w:rPr>
                <w:rFonts w:ascii="Abadi" w:hAnsi="Abadi" w:cstheme="minorHAnsi"/>
                <w:b/>
                <w:bCs/>
                <w:color w:val="FFFFFF" w:themeColor="background1"/>
                <w:sz w:val="20"/>
                <w:szCs w:val="20"/>
                <w:lang w:val="es-ES_tradnl"/>
              </w:rPr>
              <w:t>5</w:t>
            </w:r>
          </w:p>
        </w:tc>
        <w:tc>
          <w:tcPr>
            <w:tcW w:w="2125" w:type="dxa"/>
            <w:tcBorders>
              <w:bottom w:val="single" w:sz="4" w:space="0" w:color="auto"/>
            </w:tcBorders>
            <w:shd w:val="clear" w:color="auto" w:fill="0070C0"/>
          </w:tcPr>
          <w:p w14:paraId="05BBD17E" w14:textId="38E7ED67" w:rsidR="00452B79"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4713D6" w:rsidRPr="00C80F8E">
              <w:rPr>
                <w:rFonts w:ascii="Abadi" w:hAnsi="Abadi" w:cstheme="minorHAnsi"/>
                <w:b/>
                <w:bCs/>
                <w:color w:val="FFFFFF" w:themeColor="background1"/>
                <w:sz w:val="20"/>
                <w:szCs w:val="20"/>
                <w:lang w:val="es-ES_tradnl"/>
              </w:rPr>
              <w:t>4</w:t>
            </w:r>
          </w:p>
        </w:tc>
      </w:tr>
      <w:tr w:rsidR="00200962" w:rsidRPr="00C80F8E" w14:paraId="7FAD5345" w14:textId="77777777" w:rsidTr="008A27C6">
        <w:tc>
          <w:tcPr>
            <w:tcW w:w="4891" w:type="dxa"/>
            <w:tcBorders>
              <w:top w:val="single" w:sz="4" w:space="0" w:color="auto"/>
              <w:left w:val="single" w:sz="4" w:space="0" w:color="auto"/>
              <w:bottom w:val="single" w:sz="4" w:space="0" w:color="auto"/>
              <w:right w:val="single" w:sz="4" w:space="0" w:color="auto"/>
            </w:tcBorders>
          </w:tcPr>
          <w:p w14:paraId="64045536" w14:textId="59184105"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Teléfono Local</w:t>
            </w:r>
          </w:p>
        </w:tc>
        <w:tc>
          <w:tcPr>
            <w:tcW w:w="2268" w:type="dxa"/>
            <w:tcBorders>
              <w:top w:val="single" w:sz="4" w:space="0" w:color="auto"/>
              <w:left w:val="single" w:sz="4" w:space="0" w:color="auto"/>
              <w:bottom w:val="single" w:sz="4" w:space="0" w:color="auto"/>
              <w:right w:val="single" w:sz="4" w:space="0" w:color="auto"/>
            </w:tcBorders>
          </w:tcPr>
          <w:p w14:paraId="1545DB00" w14:textId="4F002919" w:rsidR="00200962" w:rsidRPr="00C80F8E" w:rsidRDefault="004F562B" w:rsidP="00200962">
            <w:pPr>
              <w:jc w:val="right"/>
              <w:rPr>
                <w:rFonts w:ascii="Abadi" w:hAnsi="Abadi" w:cstheme="minorHAnsi"/>
                <w:sz w:val="20"/>
                <w:szCs w:val="20"/>
                <w:lang w:val="es-ES_tradnl"/>
              </w:rPr>
            </w:pPr>
            <w:r w:rsidRPr="00C80F8E">
              <w:rPr>
                <w:rFonts w:ascii="Abadi" w:hAnsi="Abadi" w:cstheme="minorHAnsi"/>
                <w:sz w:val="20"/>
                <w:szCs w:val="20"/>
                <w:lang w:val="es-ES_tradnl"/>
              </w:rPr>
              <w:t>1,834,539.69</w:t>
            </w:r>
          </w:p>
        </w:tc>
        <w:tc>
          <w:tcPr>
            <w:tcW w:w="2125" w:type="dxa"/>
            <w:tcBorders>
              <w:top w:val="single" w:sz="4" w:space="0" w:color="auto"/>
              <w:left w:val="single" w:sz="4" w:space="0" w:color="auto"/>
              <w:bottom w:val="single" w:sz="4" w:space="0" w:color="auto"/>
              <w:right w:val="single" w:sz="4" w:space="0" w:color="auto"/>
            </w:tcBorders>
          </w:tcPr>
          <w:p w14:paraId="33EF556F" w14:textId="2508608F" w:rsidR="00200962" w:rsidRPr="00C80F8E" w:rsidRDefault="00595DE5" w:rsidP="00200962">
            <w:pPr>
              <w:jc w:val="right"/>
              <w:rPr>
                <w:rFonts w:ascii="Abadi" w:hAnsi="Abadi" w:cstheme="minorHAnsi"/>
                <w:sz w:val="20"/>
                <w:szCs w:val="20"/>
                <w:lang w:val="es-ES_tradnl"/>
              </w:rPr>
            </w:pPr>
            <w:r w:rsidRPr="00C80F8E">
              <w:rPr>
                <w:rFonts w:ascii="Abadi" w:hAnsi="Abadi" w:cstheme="minorHAnsi"/>
                <w:sz w:val="20"/>
                <w:szCs w:val="20"/>
                <w:lang w:val="es-ES_tradnl"/>
              </w:rPr>
              <w:t>1,797,449.38</w:t>
            </w:r>
          </w:p>
        </w:tc>
      </w:tr>
      <w:tr w:rsidR="00200962" w:rsidRPr="00C80F8E" w14:paraId="7B69B34A" w14:textId="77777777" w:rsidTr="008A27C6">
        <w:tc>
          <w:tcPr>
            <w:tcW w:w="4891" w:type="dxa"/>
            <w:tcBorders>
              <w:top w:val="single" w:sz="4" w:space="0" w:color="auto"/>
              <w:left w:val="single" w:sz="4" w:space="0" w:color="auto"/>
              <w:bottom w:val="single" w:sz="4" w:space="0" w:color="auto"/>
              <w:right w:val="single" w:sz="4" w:space="0" w:color="auto"/>
            </w:tcBorders>
          </w:tcPr>
          <w:p w14:paraId="03D5DE2F" w14:textId="3CE30436"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Telefax y Correo</w:t>
            </w:r>
          </w:p>
        </w:tc>
        <w:tc>
          <w:tcPr>
            <w:tcW w:w="2268" w:type="dxa"/>
            <w:tcBorders>
              <w:top w:val="single" w:sz="4" w:space="0" w:color="auto"/>
              <w:left w:val="single" w:sz="4" w:space="0" w:color="auto"/>
              <w:bottom w:val="single" w:sz="4" w:space="0" w:color="auto"/>
              <w:right w:val="single" w:sz="4" w:space="0" w:color="auto"/>
            </w:tcBorders>
          </w:tcPr>
          <w:p w14:paraId="3EB97483" w14:textId="4159B258" w:rsidR="00200962" w:rsidRPr="00C80F8E" w:rsidRDefault="00305B77" w:rsidP="00200962">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top w:val="single" w:sz="4" w:space="0" w:color="auto"/>
              <w:left w:val="single" w:sz="4" w:space="0" w:color="auto"/>
              <w:bottom w:val="single" w:sz="4" w:space="0" w:color="auto"/>
              <w:right w:val="single" w:sz="4" w:space="0" w:color="auto"/>
            </w:tcBorders>
          </w:tcPr>
          <w:p w14:paraId="6BB78B59" w14:textId="6ABF77B0" w:rsidR="00200962" w:rsidRPr="00C80F8E" w:rsidRDefault="00595DE5" w:rsidP="00200962">
            <w:pPr>
              <w:jc w:val="right"/>
              <w:rPr>
                <w:rFonts w:ascii="Abadi" w:hAnsi="Abadi" w:cstheme="minorHAnsi"/>
                <w:sz w:val="20"/>
                <w:szCs w:val="20"/>
                <w:lang w:val="es-ES_tradnl"/>
              </w:rPr>
            </w:pPr>
            <w:r w:rsidRPr="00C80F8E">
              <w:rPr>
                <w:rFonts w:ascii="Abadi" w:hAnsi="Abadi" w:cstheme="minorHAnsi"/>
                <w:sz w:val="20"/>
                <w:szCs w:val="20"/>
                <w:lang w:val="es-ES_tradnl"/>
              </w:rPr>
              <w:t>17,451.20</w:t>
            </w:r>
          </w:p>
        </w:tc>
      </w:tr>
      <w:tr w:rsidR="00200962" w:rsidRPr="00C80F8E" w14:paraId="636CF5A7" w14:textId="77777777" w:rsidTr="008A27C6">
        <w:tc>
          <w:tcPr>
            <w:tcW w:w="4891" w:type="dxa"/>
            <w:tcBorders>
              <w:top w:val="single" w:sz="4" w:space="0" w:color="auto"/>
              <w:left w:val="single" w:sz="4" w:space="0" w:color="auto"/>
              <w:bottom w:val="single" w:sz="4" w:space="0" w:color="auto"/>
              <w:right w:val="single" w:sz="4" w:space="0" w:color="auto"/>
            </w:tcBorders>
          </w:tcPr>
          <w:p w14:paraId="294EC3C2" w14:textId="139A0640"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Servicios de Internet y Televisión por Cable</w:t>
            </w:r>
          </w:p>
        </w:tc>
        <w:tc>
          <w:tcPr>
            <w:tcW w:w="2268" w:type="dxa"/>
            <w:tcBorders>
              <w:top w:val="single" w:sz="4" w:space="0" w:color="auto"/>
              <w:left w:val="single" w:sz="4" w:space="0" w:color="auto"/>
              <w:bottom w:val="single" w:sz="4" w:space="0" w:color="auto"/>
              <w:right w:val="single" w:sz="4" w:space="0" w:color="auto"/>
            </w:tcBorders>
          </w:tcPr>
          <w:p w14:paraId="4DB8BD05" w14:textId="539B1AE5" w:rsidR="00200962" w:rsidRPr="00C80F8E" w:rsidRDefault="00B72C12" w:rsidP="00200962">
            <w:pPr>
              <w:jc w:val="right"/>
              <w:rPr>
                <w:rFonts w:ascii="Abadi" w:hAnsi="Abadi" w:cstheme="minorHAnsi"/>
                <w:sz w:val="20"/>
                <w:szCs w:val="20"/>
                <w:lang w:val="es-ES_tradnl"/>
              </w:rPr>
            </w:pPr>
            <w:r w:rsidRPr="00C80F8E">
              <w:rPr>
                <w:rFonts w:ascii="Abadi" w:hAnsi="Abadi" w:cstheme="minorHAnsi"/>
                <w:sz w:val="20"/>
                <w:szCs w:val="20"/>
                <w:lang w:val="es-ES_tradnl"/>
              </w:rPr>
              <w:t>1,015,139.39</w:t>
            </w:r>
          </w:p>
        </w:tc>
        <w:tc>
          <w:tcPr>
            <w:tcW w:w="2125" w:type="dxa"/>
            <w:tcBorders>
              <w:top w:val="single" w:sz="4" w:space="0" w:color="auto"/>
              <w:left w:val="single" w:sz="4" w:space="0" w:color="auto"/>
              <w:bottom w:val="single" w:sz="4" w:space="0" w:color="auto"/>
              <w:right w:val="single" w:sz="4" w:space="0" w:color="auto"/>
            </w:tcBorders>
          </w:tcPr>
          <w:p w14:paraId="433856F6" w14:textId="50915308" w:rsidR="00200962" w:rsidRPr="00C80F8E" w:rsidRDefault="00851BD0" w:rsidP="00200962">
            <w:pPr>
              <w:jc w:val="right"/>
              <w:rPr>
                <w:rFonts w:ascii="Abadi" w:hAnsi="Abadi" w:cstheme="minorHAnsi"/>
                <w:sz w:val="20"/>
                <w:szCs w:val="20"/>
                <w:lang w:val="es-ES_tradnl"/>
              </w:rPr>
            </w:pPr>
            <w:r w:rsidRPr="00C80F8E">
              <w:rPr>
                <w:rFonts w:ascii="Abadi" w:hAnsi="Abadi" w:cstheme="minorHAnsi"/>
                <w:sz w:val="20"/>
                <w:szCs w:val="20"/>
                <w:lang w:val="es-ES_tradnl"/>
              </w:rPr>
              <w:t>476,848.78</w:t>
            </w:r>
          </w:p>
        </w:tc>
      </w:tr>
      <w:tr w:rsidR="00200962" w:rsidRPr="00C80F8E" w14:paraId="33DA4E63" w14:textId="77777777" w:rsidTr="008A27C6">
        <w:tc>
          <w:tcPr>
            <w:tcW w:w="4891" w:type="dxa"/>
            <w:tcBorders>
              <w:top w:val="single" w:sz="4" w:space="0" w:color="auto"/>
              <w:left w:val="single" w:sz="4" w:space="0" w:color="auto"/>
              <w:bottom w:val="single" w:sz="4" w:space="0" w:color="auto"/>
              <w:right w:val="single" w:sz="4" w:space="0" w:color="auto"/>
            </w:tcBorders>
          </w:tcPr>
          <w:p w14:paraId="35A1DF1C" w14:textId="50177321"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Energía Eléctrica</w:t>
            </w:r>
          </w:p>
        </w:tc>
        <w:tc>
          <w:tcPr>
            <w:tcW w:w="2268" w:type="dxa"/>
            <w:tcBorders>
              <w:top w:val="single" w:sz="4" w:space="0" w:color="auto"/>
              <w:left w:val="single" w:sz="4" w:space="0" w:color="auto"/>
              <w:bottom w:val="single" w:sz="4" w:space="0" w:color="auto"/>
              <w:right w:val="single" w:sz="4" w:space="0" w:color="auto"/>
            </w:tcBorders>
          </w:tcPr>
          <w:p w14:paraId="1DF910F6" w14:textId="386789C6" w:rsidR="00200962" w:rsidRPr="00C80F8E" w:rsidRDefault="00353596" w:rsidP="00200962">
            <w:pPr>
              <w:jc w:val="right"/>
              <w:rPr>
                <w:rFonts w:ascii="Abadi" w:hAnsi="Abadi" w:cstheme="minorHAnsi"/>
                <w:sz w:val="20"/>
                <w:szCs w:val="20"/>
                <w:lang w:val="es-ES_tradnl"/>
              </w:rPr>
            </w:pPr>
            <w:r w:rsidRPr="00C80F8E">
              <w:rPr>
                <w:rFonts w:ascii="Abadi" w:hAnsi="Abadi" w:cstheme="minorHAnsi"/>
                <w:sz w:val="20"/>
                <w:szCs w:val="20"/>
                <w:lang w:val="es-ES_tradnl"/>
              </w:rPr>
              <w:t>1,908,171.36</w:t>
            </w:r>
          </w:p>
        </w:tc>
        <w:tc>
          <w:tcPr>
            <w:tcW w:w="2125" w:type="dxa"/>
            <w:tcBorders>
              <w:top w:val="single" w:sz="4" w:space="0" w:color="auto"/>
              <w:left w:val="single" w:sz="4" w:space="0" w:color="auto"/>
              <w:bottom w:val="single" w:sz="4" w:space="0" w:color="auto"/>
              <w:right w:val="single" w:sz="4" w:space="0" w:color="auto"/>
            </w:tcBorders>
          </w:tcPr>
          <w:p w14:paraId="770C7465" w14:textId="29DDCD11" w:rsidR="00851BD0" w:rsidRPr="00C80F8E" w:rsidRDefault="00851BD0" w:rsidP="00851BD0">
            <w:pPr>
              <w:jc w:val="right"/>
              <w:rPr>
                <w:rFonts w:ascii="Abadi" w:hAnsi="Abadi" w:cstheme="minorHAnsi"/>
                <w:sz w:val="20"/>
                <w:szCs w:val="20"/>
                <w:lang w:val="es-ES_tradnl"/>
              </w:rPr>
            </w:pPr>
            <w:r w:rsidRPr="00C80F8E">
              <w:rPr>
                <w:rFonts w:ascii="Abadi" w:hAnsi="Abadi" w:cstheme="minorHAnsi"/>
                <w:sz w:val="20"/>
                <w:szCs w:val="20"/>
                <w:lang w:val="es-ES_tradnl"/>
              </w:rPr>
              <w:t>2,251,279.80</w:t>
            </w:r>
          </w:p>
        </w:tc>
      </w:tr>
      <w:tr w:rsidR="00200962" w:rsidRPr="00C80F8E" w14:paraId="3A2F3966" w14:textId="77777777" w:rsidTr="008A27C6">
        <w:tc>
          <w:tcPr>
            <w:tcW w:w="4891" w:type="dxa"/>
            <w:tcBorders>
              <w:top w:val="single" w:sz="4" w:space="0" w:color="auto"/>
              <w:left w:val="single" w:sz="4" w:space="0" w:color="auto"/>
              <w:bottom w:val="single" w:sz="4" w:space="0" w:color="auto"/>
              <w:right w:val="single" w:sz="4" w:space="0" w:color="auto"/>
            </w:tcBorders>
          </w:tcPr>
          <w:p w14:paraId="51B2FE71" w14:textId="270A9DB6"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Agua</w:t>
            </w:r>
          </w:p>
        </w:tc>
        <w:tc>
          <w:tcPr>
            <w:tcW w:w="2268" w:type="dxa"/>
            <w:tcBorders>
              <w:top w:val="single" w:sz="4" w:space="0" w:color="auto"/>
              <w:left w:val="single" w:sz="4" w:space="0" w:color="auto"/>
              <w:bottom w:val="single" w:sz="4" w:space="0" w:color="auto"/>
              <w:right w:val="single" w:sz="4" w:space="0" w:color="auto"/>
            </w:tcBorders>
          </w:tcPr>
          <w:p w14:paraId="5AD81FAC" w14:textId="2DBA0CDA" w:rsidR="00200962" w:rsidRPr="00C80F8E" w:rsidRDefault="00353596" w:rsidP="00200962">
            <w:pPr>
              <w:jc w:val="right"/>
              <w:rPr>
                <w:rFonts w:ascii="Abadi" w:hAnsi="Abadi" w:cstheme="minorHAnsi"/>
                <w:sz w:val="20"/>
                <w:szCs w:val="20"/>
                <w:lang w:val="es-ES_tradnl"/>
              </w:rPr>
            </w:pPr>
            <w:r w:rsidRPr="00C80F8E">
              <w:rPr>
                <w:rFonts w:ascii="Abadi" w:hAnsi="Abadi" w:cstheme="minorHAnsi"/>
                <w:sz w:val="20"/>
                <w:szCs w:val="20"/>
                <w:lang w:val="es-ES_tradnl"/>
              </w:rPr>
              <w:t>19,335.60</w:t>
            </w:r>
          </w:p>
        </w:tc>
        <w:tc>
          <w:tcPr>
            <w:tcW w:w="2125" w:type="dxa"/>
            <w:tcBorders>
              <w:top w:val="single" w:sz="4" w:space="0" w:color="auto"/>
              <w:left w:val="single" w:sz="4" w:space="0" w:color="auto"/>
              <w:bottom w:val="single" w:sz="4" w:space="0" w:color="auto"/>
              <w:right w:val="single" w:sz="4" w:space="0" w:color="auto"/>
            </w:tcBorders>
          </w:tcPr>
          <w:p w14:paraId="3043F588" w14:textId="40FA01BC" w:rsidR="00200962" w:rsidRPr="00C80F8E" w:rsidRDefault="00586CBC" w:rsidP="00200962">
            <w:pPr>
              <w:jc w:val="right"/>
              <w:rPr>
                <w:rFonts w:ascii="Abadi" w:hAnsi="Abadi" w:cstheme="minorHAnsi"/>
                <w:sz w:val="20"/>
                <w:szCs w:val="20"/>
                <w:lang w:val="es-ES_tradnl"/>
              </w:rPr>
            </w:pPr>
            <w:r w:rsidRPr="00C80F8E">
              <w:rPr>
                <w:rFonts w:ascii="Abadi" w:hAnsi="Abadi" w:cstheme="minorHAnsi"/>
                <w:sz w:val="20"/>
                <w:szCs w:val="20"/>
                <w:lang w:val="es-ES_tradnl"/>
              </w:rPr>
              <w:t>13,178.00</w:t>
            </w:r>
          </w:p>
        </w:tc>
      </w:tr>
      <w:tr w:rsidR="00200962" w:rsidRPr="00C80F8E" w14:paraId="7F997521" w14:textId="77777777" w:rsidTr="008A27C6">
        <w:tc>
          <w:tcPr>
            <w:tcW w:w="4891" w:type="dxa"/>
            <w:tcBorders>
              <w:top w:val="single" w:sz="4" w:space="0" w:color="auto"/>
              <w:left w:val="single" w:sz="4" w:space="0" w:color="auto"/>
              <w:bottom w:val="single" w:sz="4" w:space="0" w:color="auto"/>
              <w:right w:val="single" w:sz="4" w:space="0" w:color="auto"/>
            </w:tcBorders>
          </w:tcPr>
          <w:p w14:paraId="741EE5CA" w14:textId="6D72B292"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Recolección de Residuos Solidos</w:t>
            </w:r>
          </w:p>
        </w:tc>
        <w:tc>
          <w:tcPr>
            <w:tcW w:w="2268" w:type="dxa"/>
            <w:tcBorders>
              <w:top w:val="single" w:sz="4" w:space="0" w:color="auto"/>
              <w:left w:val="single" w:sz="4" w:space="0" w:color="auto"/>
              <w:bottom w:val="single" w:sz="4" w:space="0" w:color="auto"/>
              <w:right w:val="single" w:sz="4" w:space="0" w:color="auto"/>
            </w:tcBorders>
          </w:tcPr>
          <w:p w14:paraId="6062619B" w14:textId="0166A8E1" w:rsidR="00200962" w:rsidRPr="00C80F8E" w:rsidRDefault="009D3070" w:rsidP="00200962">
            <w:pPr>
              <w:jc w:val="right"/>
              <w:rPr>
                <w:rFonts w:ascii="Abadi" w:hAnsi="Abadi" w:cstheme="minorHAnsi"/>
                <w:sz w:val="20"/>
                <w:szCs w:val="20"/>
                <w:lang w:val="es-ES_tradnl"/>
              </w:rPr>
            </w:pPr>
            <w:r w:rsidRPr="00C80F8E">
              <w:rPr>
                <w:rFonts w:ascii="Abadi" w:hAnsi="Abadi" w:cstheme="minorHAnsi"/>
                <w:sz w:val="20"/>
                <w:szCs w:val="20"/>
                <w:lang w:val="es-ES_tradnl"/>
              </w:rPr>
              <w:t>27,960.00</w:t>
            </w:r>
          </w:p>
        </w:tc>
        <w:tc>
          <w:tcPr>
            <w:tcW w:w="2125" w:type="dxa"/>
            <w:tcBorders>
              <w:top w:val="single" w:sz="4" w:space="0" w:color="auto"/>
              <w:left w:val="single" w:sz="4" w:space="0" w:color="auto"/>
              <w:bottom w:val="single" w:sz="4" w:space="0" w:color="auto"/>
              <w:right w:val="single" w:sz="4" w:space="0" w:color="auto"/>
            </w:tcBorders>
          </w:tcPr>
          <w:p w14:paraId="39474E73" w14:textId="282925E0" w:rsidR="00200962" w:rsidRPr="00C80F8E" w:rsidRDefault="00586CBC" w:rsidP="00200962">
            <w:pPr>
              <w:jc w:val="right"/>
              <w:rPr>
                <w:rFonts w:ascii="Abadi" w:hAnsi="Abadi" w:cstheme="minorHAnsi"/>
                <w:sz w:val="20"/>
                <w:szCs w:val="20"/>
                <w:lang w:val="es-ES_tradnl"/>
              </w:rPr>
            </w:pPr>
            <w:r w:rsidRPr="00C80F8E">
              <w:rPr>
                <w:rFonts w:ascii="Abadi" w:hAnsi="Abadi" w:cstheme="minorHAnsi"/>
                <w:sz w:val="20"/>
                <w:szCs w:val="20"/>
                <w:lang w:val="es-ES_tradnl"/>
              </w:rPr>
              <w:t>30,960.00</w:t>
            </w:r>
          </w:p>
        </w:tc>
      </w:tr>
      <w:tr w:rsidR="00200962" w:rsidRPr="00C80F8E" w14:paraId="24C9D891" w14:textId="77777777" w:rsidTr="008A27C6">
        <w:tc>
          <w:tcPr>
            <w:tcW w:w="4891" w:type="dxa"/>
            <w:tcBorders>
              <w:top w:val="single" w:sz="4" w:space="0" w:color="auto"/>
              <w:left w:val="single" w:sz="4" w:space="0" w:color="auto"/>
              <w:bottom w:val="single" w:sz="4" w:space="0" w:color="auto"/>
              <w:right w:val="single" w:sz="4" w:space="0" w:color="auto"/>
            </w:tcBorders>
          </w:tcPr>
          <w:p w14:paraId="20A5417C" w14:textId="08B7C911"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Publicidad y Propaganda</w:t>
            </w:r>
          </w:p>
        </w:tc>
        <w:tc>
          <w:tcPr>
            <w:tcW w:w="2268" w:type="dxa"/>
            <w:tcBorders>
              <w:top w:val="single" w:sz="4" w:space="0" w:color="auto"/>
              <w:left w:val="single" w:sz="4" w:space="0" w:color="auto"/>
              <w:bottom w:val="single" w:sz="4" w:space="0" w:color="auto"/>
              <w:right w:val="single" w:sz="4" w:space="0" w:color="auto"/>
            </w:tcBorders>
          </w:tcPr>
          <w:p w14:paraId="7ECDFE8C" w14:textId="741C2552" w:rsidR="00200962" w:rsidRPr="00C80F8E" w:rsidRDefault="009D3070" w:rsidP="00200962">
            <w:pPr>
              <w:jc w:val="right"/>
              <w:rPr>
                <w:rFonts w:ascii="Abadi" w:hAnsi="Abadi" w:cstheme="minorHAnsi"/>
                <w:sz w:val="20"/>
                <w:szCs w:val="20"/>
                <w:lang w:val="es-ES_tradnl"/>
              </w:rPr>
            </w:pPr>
            <w:r w:rsidRPr="00C80F8E">
              <w:rPr>
                <w:rFonts w:ascii="Abadi" w:hAnsi="Abadi" w:cstheme="minorHAnsi"/>
                <w:sz w:val="20"/>
                <w:szCs w:val="20"/>
                <w:lang w:val="es-ES_tradnl"/>
              </w:rPr>
              <w:t>3,153,556.56</w:t>
            </w:r>
          </w:p>
        </w:tc>
        <w:tc>
          <w:tcPr>
            <w:tcW w:w="2125" w:type="dxa"/>
            <w:tcBorders>
              <w:top w:val="single" w:sz="4" w:space="0" w:color="auto"/>
              <w:left w:val="single" w:sz="4" w:space="0" w:color="auto"/>
              <w:bottom w:val="single" w:sz="4" w:space="0" w:color="auto"/>
              <w:right w:val="single" w:sz="4" w:space="0" w:color="auto"/>
            </w:tcBorders>
          </w:tcPr>
          <w:p w14:paraId="3FAB2C28" w14:textId="3B90665B" w:rsidR="00200962" w:rsidRPr="00C80F8E" w:rsidRDefault="00095F53" w:rsidP="00200962">
            <w:pPr>
              <w:jc w:val="right"/>
              <w:rPr>
                <w:rFonts w:ascii="Abadi" w:hAnsi="Abadi" w:cstheme="minorHAnsi"/>
                <w:sz w:val="20"/>
                <w:szCs w:val="20"/>
                <w:lang w:val="es-ES_tradnl"/>
              </w:rPr>
            </w:pPr>
            <w:r w:rsidRPr="00C80F8E">
              <w:rPr>
                <w:rFonts w:ascii="Abadi" w:hAnsi="Abadi" w:cstheme="minorHAnsi"/>
                <w:sz w:val="20"/>
                <w:szCs w:val="20"/>
                <w:lang w:val="es-ES_tradnl"/>
              </w:rPr>
              <w:t>2,845,487.23</w:t>
            </w:r>
          </w:p>
        </w:tc>
      </w:tr>
      <w:tr w:rsidR="00200962" w:rsidRPr="00C80F8E" w14:paraId="452E9D15" w14:textId="77777777" w:rsidTr="008A27C6">
        <w:tc>
          <w:tcPr>
            <w:tcW w:w="4891" w:type="dxa"/>
            <w:tcBorders>
              <w:top w:val="single" w:sz="4" w:space="0" w:color="auto"/>
              <w:left w:val="single" w:sz="4" w:space="0" w:color="auto"/>
              <w:bottom w:val="single" w:sz="4" w:space="0" w:color="auto"/>
              <w:right w:val="single" w:sz="4" w:space="0" w:color="auto"/>
            </w:tcBorders>
          </w:tcPr>
          <w:p w14:paraId="4E21C61B" w14:textId="4DE835DC"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Impresión y Encuadernación</w:t>
            </w:r>
          </w:p>
        </w:tc>
        <w:tc>
          <w:tcPr>
            <w:tcW w:w="2268" w:type="dxa"/>
            <w:tcBorders>
              <w:top w:val="single" w:sz="4" w:space="0" w:color="auto"/>
              <w:left w:val="single" w:sz="4" w:space="0" w:color="auto"/>
              <w:bottom w:val="single" w:sz="4" w:space="0" w:color="auto"/>
              <w:right w:val="single" w:sz="4" w:space="0" w:color="auto"/>
            </w:tcBorders>
          </w:tcPr>
          <w:p w14:paraId="00B9EA5B" w14:textId="6ECB41E5" w:rsidR="00200962" w:rsidRPr="00C80F8E" w:rsidRDefault="009D3070" w:rsidP="00200962">
            <w:pPr>
              <w:jc w:val="right"/>
              <w:rPr>
                <w:rFonts w:ascii="Abadi" w:hAnsi="Abadi" w:cstheme="minorHAnsi"/>
                <w:sz w:val="20"/>
                <w:szCs w:val="20"/>
                <w:lang w:val="es-ES_tradnl"/>
              </w:rPr>
            </w:pPr>
            <w:r w:rsidRPr="00C80F8E">
              <w:rPr>
                <w:rFonts w:ascii="Abadi" w:hAnsi="Abadi" w:cstheme="minorHAnsi"/>
                <w:sz w:val="20"/>
                <w:szCs w:val="20"/>
                <w:lang w:val="es-ES_tradnl"/>
              </w:rPr>
              <w:t>1,302,753.80</w:t>
            </w:r>
          </w:p>
        </w:tc>
        <w:tc>
          <w:tcPr>
            <w:tcW w:w="2125" w:type="dxa"/>
            <w:tcBorders>
              <w:top w:val="single" w:sz="4" w:space="0" w:color="auto"/>
              <w:left w:val="single" w:sz="4" w:space="0" w:color="auto"/>
              <w:bottom w:val="single" w:sz="4" w:space="0" w:color="auto"/>
              <w:right w:val="single" w:sz="4" w:space="0" w:color="auto"/>
            </w:tcBorders>
          </w:tcPr>
          <w:p w14:paraId="776051CA" w14:textId="78432CCD" w:rsidR="00200962" w:rsidRPr="00C80F8E" w:rsidRDefault="00095F53" w:rsidP="00200962">
            <w:pPr>
              <w:jc w:val="right"/>
              <w:rPr>
                <w:rFonts w:ascii="Abadi" w:hAnsi="Abadi" w:cstheme="minorHAnsi"/>
                <w:sz w:val="20"/>
                <w:szCs w:val="20"/>
                <w:lang w:val="es-ES_tradnl"/>
              </w:rPr>
            </w:pPr>
            <w:r w:rsidRPr="00C80F8E">
              <w:rPr>
                <w:rFonts w:ascii="Abadi" w:hAnsi="Abadi" w:cstheme="minorHAnsi"/>
                <w:sz w:val="20"/>
                <w:szCs w:val="20"/>
                <w:lang w:val="es-ES_tradnl"/>
              </w:rPr>
              <w:t>231,440.00</w:t>
            </w:r>
          </w:p>
        </w:tc>
      </w:tr>
      <w:tr w:rsidR="00200962" w:rsidRPr="00C80F8E" w14:paraId="08732E45" w14:textId="77777777" w:rsidTr="008A27C6">
        <w:tc>
          <w:tcPr>
            <w:tcW w:w="4891" w:type="dxa"/>
            <w:tcBorders>
              <w:top w:val="single" w:sz="4" w:space="0" w:color="auto"/>
              <w:left w:val="single" w:sz="4" w:space="0" w:color="auto"/>
              <w:bottom w:val="single" w:sz="4" w:space="0" w:color="auto"/>
              <w:right w:val="single" w:sz="4" w:space="0" w:color="auto"/>
            </w:tcBorders>
          </w:tcPr>
          <w:p w14:paraId="4BC4CD56" w14:textId="17340F56"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Viáticos Dentro del </w:t>
            </w:r>
            <w:r w:rsidR="00EA28DE" w:rsidRPr="00C80F8E">
              <w:rPr>
                <w:rFonts w:ascii="Abadi" w:hAnsi="Abadi" w:cstheme="minorHAnsi"/>
                <w:color w:val="000000"/>
                <w:sz w:val="20"/>
                <w:szCs w:val="20"/>
                <w:lang w:val="es-ES_tradnl"/>
              </w:rPr>
              <w:t>País</w:t>
            </w:r>
          </w:p>
        </w:tc>
        <w:tc>
          <w:tcPr>
            <w:tcW w:w="2268" w:type="dxa"/>
            <w:tcBorders>
              <w:top w:val="single" w:sz="4" w:space="0" w:color="auto"/>
              <w:left w:val="single" w:sz="4" w:space="0" w:color="auto"/>
              <w:bottom w:val="single" w:sz="4" w:space="0" w:color="auto"/>
              <w:right w:val="single" w:sz="4" w:space="0" w:color="auto"/>
            </w:tcBorders>
          </w:tcPr>
          <w:p w14:paraId="58063209" w14:textId="40951E8E" w:rsidR="00200962" w:rsidRPr="00C80F8E" w:rsidRDefault="00E36865" w:rsidP="00200962">
            <w:pPr>
              <w:jc w:val="right"/>
              <w:rPr>
                <w:rFonts w:ascii="Abadi" w:hAnsi="Abadi" w:cstheme="minorHAnsi"/>
                <w:sz w:val="20"/>
                <w:szCs w:val="20"/>
                <w:lang w:val="es-ES_tradnl"/>
              </w:rPr>
            </w:pPr>
            <w:r w:rsidRPr="00C80F8E">
              <w:rPr>
                <w:rFonts w:ascii="Abadi" w:hAnsi="Abadi" w:cstheme="minorHAnsi"/>
                <w:sz w:val="20"/>
                <w:szCs w:val="20"/>
                <w:lang w:val="es-ES_tradnl"/>
              </w:rPr>
              <w:t>96,600.00</w:t>
            </w:r>
          </w:p>
        </w:tc>
        <w:tc>
          <w:tcPr>
            <w:tcW w:w="2125" w:type="dxa"/>
            <w:tcBorders>
              <w:top w:val="single" w:sz="4" w:space="0" w:color="auto"/>
              <w:left w:val="single" w:sz="4" w:space="0" w:color="auto"/>
              <w:bottom w:val="single" w:sz="4" w:space="0" w:color="auto"/>
              <w:right w:val="single" w:sz="4" w:space="0" w:color="auto"/>
            </w:tcBorders>
          </w:tcPr>
          <w:p w14:paraId="00BA5C4A" w14:textId="56F53FB4" w:rsidR="00200962" w:rsidRPr="00C80F8E" w:rsidRDefault="00360403" w:rsidP="00200962">
            <w:pPr>
              <w:jc w:val="right"/>
              <w:rPr>
                <w:rFonts w:ascii="Abadi" w:hAnsi="Abadi" w:cstheme="minorHAnsi"/>
                <w:sz w:val="20"/>
                <w:szCs w:val="20"/>
                <w:lang w:val="es-ES_tradnl"/>
              </w:rPr>
            </w:pPr>
            <w:r w:rsidRPr="00C80F8E">
              <w:rPr>
                <w:rFonts w:ascii="Abadi" w:hAnsi="Abadi" w:cstheme="minorHAnsi"/>
                <w:sz w:val="20"/>
                <w:szCs w:val="20"/>
                <w:lang w:val="es-ES_tradnl"/>
              </w:rPr>
              <w:t>149,840.00</w:t>
            </w:r>
          </w:p>
        </w:tc>
      </w:tr>
      <w:tr w:rsidR="00200962" w:rsidRPr="00C80F8E" w14:paraId="0D45297A" w14:textId="77777777" w:rsidTr="008A27C6">
        <w:tc>
          <w:tcPr>
            <w:tcW w:w="4891" w:type="dxa"/>
            <w:tcBorders>
              <w:top w:val="single" w:sz="4" w:space="0" w:color="auto"/>
              <w:left w:val="single" w:sz="4" w:space="0" w:color="auto"/>
              <w:bottom w:val="single" w:sz="4" w:space="0" w:color="auto"/>
              <w:right w:val="single" w:sz="4" w:space="0" w:color="auto"/>
            </w:tcBorders>
          </w:tcPr>
          <w:p w14:paraId="2F0FCE3E" w14:textId="179F2A09"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Viáticos Fuera del </w:t>
            </w:r>
            <w:r w:rsidR="00EA28DE" w:rsidRPr="00C80F8E">
              <w:rPr>
                <w:rFonts w:ascii="Abadi" w:hAnsi="Abadi" w:cstheme="minorHAnsi"/>
                <w:color w:val="000000"/>
                <w:sz w:val="20"/>
                <w:szCs w:val="20"/>
                <w:lang w:val="es-ES_tradnl"/>
              </w:rPr>
              <w:t>País</w:t>
            </w:r>
          </w:p>
        </w:tc>
        <w:tc>
          <w:tcPr>
            <w:tcW w:w="2268" w:type="dxa"/>
            <w:tcBorders>
              <w:top w:val="single" w:sz="4" w:space="0" w:color="auto"/>
              <w:left w:val="single" w:sz="4" w:space="0" w:color="auto"/>
              <w:bottom w:val="single" w:sz="4" w:space="0" w:color="auto"/>
              <w:right w:val="single" w:sz="4" w:space="0" w:color="auto"/>
            </w:tcBorders>
          </w:tcPr>
          <w:p w14:paraId="0C67FB57" w14:textId="05DA8AD2" w:rsidR="00200962" w:rsidRPr="00C80F8E" w:rsidRDefault="00E36865" w:rsidP="00200962">
            <w:pPr>
              <w:jc w:val="right"/>
              <w:rPr>
                <w:rFonts w:ascii="Abadi" w:hAnsi="Abadi" w:cstheme="minorHAnsi"/>
                <w:sz w:val="20"/>
                <w:szCs w:val="20"/>
                <w:lang w:val="es-ES_tradnl"/>
              </w:rPr>
            </w:pPr>
            <w:r w:rsidRPr="00C80F8E">
              <w:rPr>
                <w:rFonts w:ascii="Abadi" w:hAnsi="Abadi" w:cstheme="minorHAnsi"/>
                <w:sz w:val="20"/>
                <w:szCs w:val="20"/>
                <w:lang w:val="es-ES_tradnl"/>
              </w:rPr>
              <w:t>492,325.70</w:t>
            </w:r>
          </w:p>
        </w:tc>
        <w:tc>
          <w:tcPr>
            <w:tcW w:w="2125" w:type="dxa"/>
            <w:tcBorders>
              <w:top w:val="single" w:sz="4" w:space="0" w:color="auto"/>
              <w:left w:val="single" w:sz="4" w:space="0" w:color="auto"/>
              <w:bottom w:val="single" w:sz="4" w:space="0" w:color="auto"/>
              <w:right w:val="single" w:sz="4" w:space="0" w:color="auto"/>
            </w:tcBorders>
          </w:tcPr>
          <w:p w14:paraId="0C21F1C7" w14:textId="5DDFF06F" w:rsidR="00200962" w:rsidRPr="00C80F8E" w:rsidRDefault="00360403" w:rsidP="00200962">
            <w:pPr>
              <w:jc w:val="right"/>
              <w:rPr>
                <w:rFonts w:ascii="Abadi" w:hAnsi="Abadi" w:cstheme="minorHAnsi"/>
                <w:sz w:val="20"/>
                <w:szCs w:val="20"/>
                <w:lang w:val="es-ES_tradnl"/>
              </w:rPr>
            </w:pPr>
            <w:r w:rsidRPr="00C80F8E">
              <w:rPr>
                <w:rFonts w:ascii="Abadi" w:hAnsi="Abadi" w:cstheme="minorHAnsi"/>
                <w:sz w:val="20"/>
                <w:szCs w:val="20"/>
                <w:lang w:val="es-ES_tradnl"/>
              </w:rPr>
              <w:t>178,530.65</w:t>
            </w:r>
          </w:p>
        </w:tc>
      </w:tr>
      <w:tr w:rsidR="00200962" w:rsidRPr="00C80F8E" w14:paraId="7719BC11" w14:textId="77777777" w:rsidTr="008A27C6">
        <w:tc>
          <w:tcPr>
            <w:tcW w:w="4891" w:type="dxa"/>
            <w:tcBorders>
              <w:top w:val="single" w:sz="4" w:space="0" w:color="auto"/>
              <w:left w:val="single" w:sz="4" w:space="0" w:color="auto"/>
              <w:bottom w:val="single" w:sz="4" w:space="0" w:color="auto"/>
              <w:right w:val="single" w:sz="4" w:space="0" w:color="auto"/>
            </w:tcBorders>
          </w:tcPr>
          <w:p w14:paraId="29BEF8B2" w14:textId="18EED89E"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Pasajes</w:t>
            </w:r>
          </w:p>
        </w:tc>
        <w:tc>
          <w:tcPr>
            <w:tcW w:w="2268" w:type="dxa"/>
            <w:tcBorders>
              <w:top w:val="single" w:sz="4" w:space="0" w:color="auto"/>
              <w:left w:val="single" w:sz="4" w:space="0" w:color="auto"/>
              <w:bottom w:val="single" w:sz="4" w:space="0" w:color="auto"/>
              <w:right w:val="single" w:sz="4" w:space="0" w:color="auto"/>
            </w:tcBorders>
          </w:tcPr>
          <w:p w14:paraId="1E5787F4" w14:textId="251E7442" w:rsidR="00200962" w:rsidRPr="00C80F8E" w:rsidRDefault="003C336A" w:rsidP="00200962">
            <w:pPr>
              <w:jc w:val="right"/>
              <w:rPr>
                <w:rFonts w:ascii="Abadi" w:hAnsi="Abadi" w:cstheme="minorHAnsi"/>
                <w:sz w:val="20"/>
                <w:szCs w:val="20"/>
                <w:lang w:val="es-ES_tradnl"/>
              </w:rPr>
            </w:pPr>
            <w:r w:rsidRPr="00C80F8E">
              <w:rPr>
                <w:rFonts w:ascii="Abadi" w:hAnsi="Abadi" w:cstheme="minorHAnsi"/>
                <w:sz w:val="20"/>
                <w:szCs w:val="20"/>
                <w:lang w:val="es-ES_tradnl"/>
              </w:rPr>
              <w:t>414,622.79</w:t>
            </w:r>
          </w:p>
        </w:tc>
        <w:tc>
          <w:tcPr>
            <w:tcW w:w="2125" w:type="dxa"/>
            <w:tcBorders>
              <w:top w:val="single" w:sz="4" w:space="0" w:color="auto"/>
              <w:left w:val="single" w:sz="4" w:space="0" w:color="auto"/>
              <w:bottom w:val="single" w:sz="4" w:space="0" w:color="auto"/>
              <w:right w:val="single" w:sz="4" w:space="0" w:color="auto"/>
            </w:tcBorders>
          </w:tcPr>
          <w:p w14:paraId="1F075377" w14:textId="425691E8" w:rsidR="00200962" w:rsidRPr="00C80F8E" w:rsidRDefault="005D14D9" w:rsidP="00200962">
            <w:pPr>
              <w:jc w:val="right"/>
              <w:rPr>
                <w:rFonts w:ascii="Abadi" w:hAnsi="Abadi" w:cstheme="minorHAnsi"/>
                <w:sz w:val="20"/>
                <w:szCs w:val="20"/>
                <w:lang w:val="es-ES_tradnl"/>
              </w:rPr>
            </w:pPr>
            <w:r w:rsidRPr="00C80F8E">
              <w:rPr>
                <w:rFonts w:ascii="Abadi" w:hAnsi="Abadi" w:cstheme="minorHAnsi"/>
                <w:sz w:val="20"/>
                <w:szCs w:val="20"/>
                <w:lang w:val="es-ES_tradnl"/>
              </w:rPr>
              <w:t>508,543.40</w:t>
            </w:r>
          </w:p>
        </w:tc>
      </w:tr>
      <w:tr w:rsidR="00200962" w:rsidRPr="00C80F8E" w14:paraId="014E1594" w14:textId="77777777" w:rsidTr="008A27C6">
        <w:tc>
          <w:tcPr>
            <w:tcW w:w="4891" w:type="dxa"/>
            <w:tcBorders>
              <w:top w:val="single" w:sz="4" w:space="0" w:color="auto"/>
              <w:left w:val="single" w:sz="4" w:space="0" w:color="auto"/>
              <w:bottom w:val="single" w:sz="4" w:space="0" w:color="auto"/>
              <w:right w:val="single" w:sz="4" w:space="0" w:color="auto"/>
            </w:tcBorders>
          </w:tcPr>
          <w:p w14:paraId="21D21549" w14:textId="1DF8D4D5"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Fletes </w:t>
            </w:r>
          </w:p>
        </w:tc>
        <w:tc>
          <w:tcPr>
            <w:tcW w:w="2268" w:type="dxa"/>
            <w:tcBorders>
              <w:top w:val="single" w:sz="4" w:space="0" w:color="auto"/>
              <w:left w:val="single" w:sz="4" w:space="0" w:color="auto"/>
              <w:bottom w:val="single" w:sz="4" w:space="0" w:color="auto"/>
              <w:right w:val="single" w:sz="4" w:space="0" w:color="auto"/>
            </w:tcBorders>
          </w:tcPr>
          <w:p w14:paraId="1387679D" w14:textId="50C6AB31" w:rsidR="00200962" w:rsidRPr="00C80F8E" w:rsidRDefault="003C336A" w:rsidP="00200962">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top w:val="single" w:sz="4" w:space="0" w:color="auto"/>
              <w:left w:val="single" w:sz="4" w:space="0" w:color="auto"/>
              <w:bottom w:val="single" w:sz="4" w:space="0" w:color="auto"/>
              <w:right w:val="single" w:sz="4" w:space="0" w:color="auto"/>
            </w:tcBorders>
          </w:tcPr>
          <w:p w14:paraId="4C9EC08F" w14:textId="526DEC44" w:rsidR="00200962" w:rsidRPr="00C80F8E" w:rsidRDefault="00DA270F" w:rsidP="00200962">
            <w:pPr>
              <w:jc w:val="right"/>
              <w:rPr>
                <w:rFonts w:ascii="Abadi" w:hAnsi="Abadi" w:cstheme="minorHAnsi"/>
                <w:sz w:val="20"/>
                <w:szCs w:val="20"/>
                <w:lang w:val="es-ES_tradnl"/>
              </w:rPr>
            </w:pPr>
            <w:r w:rsidRPr="00C80F8E">
              <w:rPr>
                <w:rFonts w:ascii="Abadi" w:hAnsi="Abadi" w:cstheme="minorHAnsi"/>
                <w:sz w:val="20"/>
                <w:szCs w:val="20"/>
                <w:lang w:val="es-ES_tradnl"/>
              </w:rPr>
              <w:t>174,857.25</w:t>
            </w:r>
          </w:p>
        </w:tc>
      </w:tr>
      <w:tr w:rsidR="00200962" w:rsidRPr="00C80F8E" w14:paraId="49EE56F6" w14:textId="77777777" w:rsidTr="008A27C6">
        <w:tc>
          <w:tcPr>
            <w:tcW w:w="4891" w:type="dxa"/>
            <w:tcBorders>
              <w:top w:val="single" w:sz="4" w:space="0" w:color="auto"/>
              <w:left w:val="single" w:sz="4" w:space="0" w:color="auto"/>
              <w:bottom w:val="single" w:sz="4" w:space="0" w:color="auto"/>
              <w:right w:val="single" w:sz="4" w:space="0" w:color="auto"/>
            </w:tcBorders>
          </w:tcPr>
          <w:p w14:paraId="0B52617C" w14:textId="6E09A207"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Peajes</w:t>
            </w:r>
          </w:p>
        </w:tc>
        <w:tc>
          <w:tcPr>
            <w:tcW w:w="2268" w:type="dxa"/>
            <w:tcBorders>
              <w:top w:val="single" w:sz="4" w:space="0" w:color="auto"/>
              <w:left w:val="single" w:sz="4" w:space="0" w:color="auto"/>
              <w:bottom w:val="single" w:sz="4" w:space="0" w:color="auto"/>
              <w:right w:val="single" w:sz="4" w:space="0" w:color="auto"/>
            </w:tcBorders>
          </w:tcPr>
          <w:p w14:paraId="72728B24" w14:textId="030D5937" w:rsidR="00200962" w:rsidRPr="00C80F8E" w:rsidRDefault="004B68FB" w:rsidP="00200962">
            <w:pPr>
              <w:jc w:val="right"/>
              <w:rPr>
                <w:rFonts w:ascii="Abadi" w:hAnsi="Abadi" w:cstheme="minorHAnsi"/>
                <w:sz w:val="20"/>
                <w:szCs w:val="20"/>
                <w:lang w:val="es-ES_tradnl"/>
              </w:rPr>
            </w:pPr>
            <w:r w:rsidRPr="00C80F8E">
              <w:rPr>
                <w:rFonts w:ascii="Abadi" w:hAnsi="Abadi" w:cstheme="minorHAnsi"/>
                <w:sz w:val="20"/>
                <w:szCs w:val="20"/>
                <w:lang w:val="es-ES_tradnl"/>
              </w:rPr>
              <w:t>8,000.00</w:t>
            </w:r>
          </w:p>
        </w:tc>
        <w:tc>
          <w:tcPr>
            <w:tcW w:w="2125" w:type="dxa"/>
            <w:tcBorders>
              <w:top w:val="single" w:sz="4" w:space="0" w:color="auto"/>
              <w:left w:val="single" w:sz="4" w:space="0" w:color="auto"/>
              <w:bottom w:val="single" w:sz="4" w:space="0" w:color="auto"/>
              <w:right w:val="single" w:sz="4" w:space="0" w:color="auto"/>
            </w:tcBorders>
          </w:tcPr>
          <w:p w14:paraId="2F50CDA7" w14:textId="3CD47ECB" w:rsidR="00200962" w:rsidRPr="00C80F8E" w:rsidRDefault="00305B77" w:rsidP="00200962">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200962" w:rsidRPr="00C80F8E" w14:paraId="0EEEFF20" w14:textId="77777777" w:rsidTr="008A27C6">
        <w:tc>
          <w:tcPr>
            <w:tcW w:w="4891" w:type="dxa"/>
            <w:tcBorders>
              <w:top w:val="single" w:sz="4" w:space="0" w:color="auto"/>
              <w:left w:val="single" w:sz="4" w:space="0" w:color="auto"/>
              <w:bottom w:val="single" w:sz="4" w:space="0" w:color="auto"/>
              <w:right w:val="single" w:sz="4" w:space="0" w:color="auto"/>
            </w:tcBorders>
          </w:tcPr>
          <w:p w14:paraId="46018A12" w14:textId="0299DEA8"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Alquileres y Rentas de Edif. y Locales</w:t>
            </w:r>
          </w:p>
        </w:tc>
        <w:tc>
          <w:tcPr>
            <w:tcW w:w="2268" w:type="dxa"/>
            <w:tcBorders>
              <w:top w:val="single" w:sz="4" w:space="0" w:color="auto"/>
              <w:left w:val="single" w:sz="4" w:space="0" w:color="auto"/>
              <w:bottom w:val="single" w:sz="4" w:space="0" w:color="auto"/>
              <w:right w:val="single" w:sz="4" w:space="0" w:color="auto"/>
            </w:tcBorders>
          </w:tcPr>
          <w:p w14:paraId="441AA40A" w14:textId="5DE9C305" w:rsidR="00200962" w:rsidRPr="00C80F8E" w:rsidRDefault="004B68FB" w:rsidP="00200962">
            <w:pPr>
              <w:jc w:val="right"/>
              <w:rPr>
                <w:rFonts w:ascii="Abadi" w:hAnsi="Abadi" w:cstheme="minorHAnsi"/>
                <w:sz w:val="20"/>
                <w:szCs w:val="20"/>
                <w:lang w:val="es-ES_tradnl"/>
              </w:rPr>
            </w:pPr>
            <w:r w:rsidRPr="00C80F8E">
              <w:rPr>
                <w:rFonts w:ascii="Abadi" w:hAnsi="Abadi" w:cstheme="minorHAnsi"/>
                <w:sz w:val="20"/>
                <w:szCs w:val="20"/>
                <w:lang w:val="es-ES_tradnl"/>
              </w:rPr>
              <w:t>346,118.25</w:t>
            </w:r>
          </w:p>
        </w:tc>
        <w:tc>
          <w:tcPr>
            <w:tcW w:w="2125" w:type="dxa"/>
            <w:tcBorders>
              <w:top w:val="single" w:sz="4" w:space="0" w:color="auto"/>
              <w:left w:val="single" w:sz="4" w:space="0" w:color="auto"/>
              <w:bottom w:val="single" w:sz="4" w:space="0" w:color="auto"/>
              <w:right w:val="single" w:sz="4" w:space="0" w:color="auto"/>
            </w:tcBorders>
          </w:tcPr>
          <w:p w14:paraId="4D13E2C2" w14:textId="07E4422B" w:rsidR="00200962" w:rsidRPr="00C80F8E" w:rsidRDefault="001569E5" w:rsidP="00200962">
            <w:pPr>
              <w:jc w:val="right"/>
              <w:rPr>
                <w:rFonts w:ascii="Abadi" w:hAnsi="Abadi" w:cstheme="minorHAnsi"/>
                <w:sz w:val="20"/>
                <w:szCs w:val="20"/>
                <w:lang w:val="es-ES_tradnl"/>
              </w:rPr>
            </w:pPr>
            <w:r w:rsidRPr="00C80F8E">
              <w:rPr>
                <w:rFonts w:ascii="Abadi" w:hAnsi="Abadi" w:cstheme="minorHAnsi"/>
                <w:sz w:val="20"/>
                <w:szCs w:val="20"/>
                <w:lang w:val="es-ES_tradnl"/>
              </w:rPr>
              <w:t>246,773.40</w:t>
            </w:r>
          </w:p>
        </w:tc>
      </w:tr>
      <w:tr w:rsidR="00200962" w:rsidRPr="00C80F8E" w14:paraId="51DF1F36" w14:textId="77777777" w:rsidTr="008A27C6">
        <w:tc>
          <w:tcPr>
            <w:tcW w:w="4891" w:type="dxa"/>
            <w:tcBorders>
              <w:top w:val="single" w:sz="4" w:space="0" w:color="auto"/>
              <w:left w:val="single" w:sz="4" w:space="0" w:color="auto"/>
              <w:bottom w:val="single" w:sz="4" w:space="0" w:color="auto"/>
              <w:right w:val="single" w:sz="4" w:space="0" w:color="auto"/>
            </w:tcBorders>
          </w:tcPr>
          <w:p w14:paraId="4A0767AF" w14:textId="63FF8D19"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Alquiler de Mobiliarios y Equipos de Oficina</w:t>
            </w:r>
          </w:p>
        </w:tc>
        <w:tc>
          <w:tcPr>
            <w:tcW w:w="2268" w:type="dxa"/>
            <w:tcBorders>
              <w:top w:val="single" w:sz="4" w:space="0" w:color="auto"/>
              <w:left w:val="single" w:sz="4" w:space="0" w:color="auto"/>
              <w:bottom w:val="single" w:sz="4" w:space="0" w:color="auto"/>
              <w:right w:val="single" w:sz="4" w:space="0" w:color="auto"/>
            </w:tcBorders>
          </w:tcPr>
          <w:p w14:paraId="19218323" w14:textId="0AEEB001" w:rsidR="00200962" w:rsidRPr="00C80F8E" w:rsidRDefault="00F94626" w:rsidP="00200962">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top w:val="single" w:sz="4" w:space="0" w:color="auto"/>
              <w:left w:val="single" w:sz="4" w:space="0" w:color="auto"/>
              <w:bottom w:val="single" w:sz="4" w:space="0" w:color="auto"/>
              <w:right w:val="single" w:sz="4" w:space="0" w:color="auto"/>
            </w:tcBorders>
          </w:tcPr>
          <w:p w14:paraId="35B09208" w14:textId="3F1A4868" w:rsidR="00200962" w:rsidRPr="00C80F8E" w:rsidRDefault="001569E5" w:rsidP="00200962">
            <w:pPr>
              <w:jc w:val="right"/>
              <w:rPr>
                <w:rFonts w:ascii="Abadi" w:hAnsi="Abadi" w:cstheme="minorHAnsi"/>
                <w:sz w:val="20"/>
                <w:szCs w:val="20"/>
                <w:lang w:val="es-ES_tradnl"/>
              </w:rPr>
            </w:pPr>
            <w:r w:rsidRPr="00C80F8E">
              <w:rPr>
                <w:rFonts w:ascii="Abadi" w:hAnsi="Abadi" w:cstheme="minorHAnsi"/>
                <w:sz w:val="20"/>
                <w:szCs w:val="20"/>
                <w:lang w:val="es-ES_tradnl"/>
              </w:rPr>
              <w:t>108,135.01</w:t>
            </w:r>
          </w:p>
        </w:tc>
      </w:tr>
      <w:tr w:rsidR="00200962" w:rsidRPr="00C80F8E" w14:paraId="09A11F90" w14:textId="77777777" w:rsidTr="008A27C6">
        <w:tc>
          <w:tcPr>
            <w:tcW w:w="4891" w:type="dxa"/>
            <w:tcBorders>
              <w:top w:val="single" w:sz="4" w:space="0" w:color="auto"/>
              <w:left w:val="single" w:sz="4" w:space="0" w:color="auto"/>
              <w:bottom w:val="single" w:sz="4" w:space="0" w:color="auto"/>
              <w:right w:val="single" w:sz="4" w:space="0" w:color="auto"/>
            </w:tcBorders>
          </w:tcPr>
          <w:p w14:paraId="2DC69195" w14:textId="62EB5F80" w:rsidR="00200962" w:rsidRPr="00C80F8E" w:rsidRDefault="00200962" w:rsidP="00200962">
            <w:pPr>
              <w:rPr>
                <w:rFonts w:ascii="Abadi" w:hAnsi="Abadi" w:cstheme="minorHAnsi"/>
                <w:b/>
                <w:bCs/>
                <w:sz w:val="20"/>
                <w:szCs w:val="20"/>
                <w:lang w:val="es-ES_tradnl"/>
              </w:rPr>
            </w:pPr>
            <w:r w:rsidRPr="00C80F8E">
              <w:rPr>
                <w:rFonts w:ascii="Abadi" w:hAnsi="Abadi" w:cstheme="minorHAnsi"/>
                <w:color w:val="000000"/>
                <w:sz w:val="20"/>
                <w:szCs w:val="20"/>
                <w:lang w:val="es-ES_tradnl"/>
              </w:rPr>
              <w:t>Alquiler Equipos de Cómputos</w:t>
            </w:r>
          </w:p>
        </w:tc>
        <w:tc>
          <w:tcPr>
            <w:tcW w:w="2268" w:type="dxa"/>
            <w:tcBorders>
              <w:top w:val="single" w:sz="4" w:space="0" w:color="auto"/>
              <w:left w:val="single" w:sz="4" w:space="0" w:color="auto"/>
              <w:bottom w:val="single" w:sz="4" w:space="0" w:color="auto"/>
              <w:right w:val="single" w:sz="4" w:space="0" w:color="auto"/>
            </w:tcBorders>
          </w:tcPr>
          <w:p w14:paraId="35CBD99F" w14:textId="5B4AB7F9" w:rsidR="00200962" w:rsidRPr="00C80F8E" w:rsidRDefault="00F94626" w:rsidP="00200962">
            <w:pPr>
              <w:jc w:val="right"/>
              <w:rPr>
                <w:rFonts w:ascii="Abadi" w:hAnsi="Abadi" w:cstheme="minorHAnsi"/>
                <w:sz w:val="20"/>
                <w:szCs w:val="20"/>
                <w:lang w:val="es-ES_tradnl"/>
              </w:rPr>
            </w:pPr>
            <w:r w:rsidRPr="00C80F8E">
              <w:rPr>
                <w:rFonts w:ascii="Abadi" w:hAnsi="Abadi" w:cstheme="minorHAnsi"/>
                <w:sz w:val="20"/>
                <w:szCs w:val="20"/>
                <w:lang w:val="es-ES_tradnl"/>
              </w:rPr>
              <w:t>3,318,408.73</w:t>
            </w:r>
          </w:p>
        </w:tc>
        <w:tc>
          <w:tcPr>
            <w:tcW w:w="2125" w:type="dxa"/>
            <w:tcBorders>
              <w:top w:val="single" w:sz="4" w:space="0" w:color="auto"/>
              <w:left w:val="single" w:sz="4" w:space="0" w:color="auto"/>
              <w:bottom w:val="single" w:sz="4" w:space="0" w:color="auto"/>
              <w:right w:val="single" w:sz="4" w:space="0" w:color="auto"/>
            </w:tcBorders>
          </w:tcPr>
          <w:p w14:paraId="68687017" w14:textId="1F7E7F3D" w:rsidR="00200962" w:rsidRPr="00C80F8E" w:rsidRDefault="00FA6A30" w:rsidP="00200962">
            <w:pPr>
              <w:jc w:val="right"/>
              <w:rPr>
                <w:rFonts w:ascii="Abadi" w:hAnsi="Abadi" w:cstheme="minorHAnsi"/>
                <w:sz w:val="20"/>
                <w:szCs w:val="20"/>
                <w:lang w:val="es-ES_tradnl"/>
              </w:rPr>
            </w:pPr>
            <w:r w:rsidRPr="00C80F8E">
              <w:rPr>
                <w:rFonts w:ascii="Abadi" w:hAnsi="Abadi" w:cstheme="minorHAnsi"/>
                <w:sz w:val="20"/>
                <w:szCs w:val="20"/>
                <w:lang w:val="es-ES_tradnl"/>
              </w:rPr>
              <w:t>1,744,306.56</w:t>
            </w:r>
          </w:p>
        </w:tc>
      </w:tr>
      <w:tr w:rsidR="004C7758" w:rsidRPr="00C80F8E" w14:paraId="2E77C879" w14:textId="77777777" w:rsidTr="008A27C6">
        <w:tc>
          <w:tcPr>
            <w:tcW w:w="4891" w:type="dxa"/>
            <w:tcBorders>
              <w:top w:val="single" w:sz="4" w:space="0" w:color="auto"/>
              <w:left w:val="single" w:sz="4" w:space="0" w:color="auto"/>
              <w:bottom w:val="single" w:sz="4" w:space="0" w:color="auto"/>
              <w:right w:val="single" w:sz="4" w:space="0" w:color="auto"/>
            </w:tcBorders>
          </w:tcPr>
          <w:p w14:paraId="56D8076F" w14:textId="06147649" w:rsidR="004C7758" w:rsidRPr="00C80F8E" w:rsidRDefault="004C7758" w:rsidP="004C7758">
            <w:pPr>
              <w:rPr>
                <w:rFonts w:ascii="Abadi" w:hAnsi="Abadi" w:cstheme="minorHAnsi"/>
                <w:b/>
                <w:bCs/>
                <w:sz w:val="20"/>
                <w:szCs w:val="20"/>
                <w:lang w:val="es-ES_tradnl"/>
              </w:rPr>
            </w:pPr>
            <w:r w:rsidRPr="00C80F8E">
              <w:rPr>
                <w:rFonts w:ascii="Abadi" w:hAnsi="Abadi" w:cstheme="minorHAnsi"/>
                <w:color w:val="000000"/>
                <w:sz w:val="20"/>
                <w:szCs w:val="20"/>
                <w:lang w:val="es-ES_tradnl"/>
              </w:rPr>
              <w:t>Seguros de Bienes Muebles</w:t>
            </w:r>
          </w:p>
        </w:tc>
        <w:tc>
          <w:tcPr>
            <w:tcW w:w="2268" w:type="dxa"/>
            <w:tcBorders>
              <w:top w:val="single" w:sz="4" w:space="0" w:color="auto"/>
              <w:left w:val="single" w:sz="4" w:space="0" w:color="auto"/>
              <w:bottom w:val="single" w:sz="4" w:space="0" w:color="auto"/>
              <w:right w:val="single" w:sz="4" w:space="0" w:color="auto"/>
            </w:tcBorders>
          </w:tcPr>
          <w:p w14:paraId="38A20092" w14:textId="0E939D5D" w:rsidR="004C7758" w:rsidRPr="00C80F8E" w:rsidRDefault="00B8789F" w:rsidP="004C7758">
            <w:pPr>
              <w:jc w:val="right"/>
              <w:rPr>
                <w:rFonts w:ascii="Abadi" w:hAnsi="Abadi" w:cstheme="minorHAnsi"/>
                <w:sz w:val="20"/>
                <w:szCs w:val="20"/>
                <w:lang w:val="es-ES_tradnl"/>
              </w:rPr>
            </w:pPr>
            <w:r w:rsidRPr="00C80F8E">
              <w:rPr>
                <w:rFonts w:ascii="Abadi" w:hAnsi="Abadi" w:cstheme="minorHAnsi"/>
                <w:sz w:val="20"/>
                <w:szCs w:val="20"/>
                <w:lang w:val="es-ES_tradnl"/>
              </w:rPr>
              <w:t>613,929.58</w:t>
            </w:r>
          </w:p>
        </w:tc>
        <w:tc>
          <w:tcPr>
            <w:tcW w:w="2125" w:type="dxa"/>
            <w:tcBorders>
              <w:top w:val="single" w:sz="4" w:space="0" w:color="auto"/>
              <w:left w:val="single" w:sz="4" w:space="0" w:color="auto"/>
              <w:bottom w:val="single" w:sz="4" w:space="0" w:color="auto"/>
              <w:right w:val="single" w:sz="4" w:space="0" w:color="auto"/>
            </w:tcBorders>
          </w:tcPr>
          <w:p w14:paraId="39FCB350" w14:textId="0ECB7766" w:rsidR="004C7758" w:rsidRPr="00C80F8E" w:rsidRDefault="00350E25" w:rsidP="004C7758">
            <w:pPr>
              <w:jc w:val="right"/>
              <w:rPr>
                <w:rFonts w:ascii="Abadi" w:hAnsi="Abadi" w:cstheme="minorHAnsi"/>
                <w:sz w:val="20"/>
                <w:szCs w:val="20"/>
                <w:lang w:val="es-ES_tradnl"/>
              </w:rPr>
            </w:pPr>
            <w:r w:rsidRPr="00C80F8E">
              <w:rPr>
                <w:rFonts w:ascii="Abadi" w:hAnsi="Abadi" w:cstheme="minorHAnsi"/>
                <w:sz w:val="20"/>
                <w:szCs w:val="20"/>
                <w:lang w:val="es-ES_tradnl"/>
              </w:rPr>
              <w:t>373,598.11</w:t>
            </w:r>
          </w:p>
        </w:tc>
      </w:tr>
      <w:tr w:rsidR="004C7758" w:rsidRPr="00C80F8E" w14:paraId="2CF64F11" w14:textId="77777777" w:rsidTr="008A27C6">
        <w:tc>
          <w:tcPr>
            <w:tcW w:w="4891" w:type="dxa"/>
            <w:tcBorders>
              <w:top w:val="single" w:sz="4" w:space="0" w:color="auto"/>
              <w:left w:val="single" w:sz="4" w:space="0" w:color="auto"/>
              <w:bottom w:val="single" w:sz="4" w:space="0" w:color="auto"/>
              <w:right w:val="single" w:sz="4" w:space="0" w:color="auto"/>
            </w:tcBorders>
          </w:tcPr>
          <w:p w14:paraId="64E6CE97" w14:textId="5A0A71BC" w:rsidR="004C7758" w:rsidRPr="00C80F8E" w:rsidRDefault="004C7758" w:rsidP="004C7758">
            <w:pPr>
              <w:rPr>
                <w:rFonts w:ascii="Abadi" w:hAnsi="Abadi" w:cstheme="minorHAnsi"/>
                <w:b/>
                <w:bCs/>
                <w:sz w:val="20"/>
                <w:szCs w:val="20"/>
                <w:lang w:val="es-ES_tradnl"/>
              </w:rPr>
            </w:pPr>
            <w:r w:rsidRPr="00C80F8E">
              <w:rPr>
                <w:rFonts w:ascii="Abadi" w:hAnsi="Abadi" w:cstheme="minorHAnsi"/>
                <w:color w:val="000000"/>
                <w:sz w:val="20"/>
                <w:szCs w:val="20"/>
                <w:lang w:val="es-ES_tradnl"/>
              </w:rPr>
              <w:t>Seguros de Personas</w:t>
            </w:r>
          </w:p>
        </w:tc>
        <w:tc>
          <w:tcPr>
            <w:tcW w:w="2268" w:type="dxa"/>
            <w:tcBorders>
              <w:top w:val="single" w:sz="4" w:space="0" w:color="auto"/>
              <w:left w:val="single" w:sz="4" w:space="0" w:color="auto"/>
              <w:bottom w:val="single" w:sz="4" w:space="0" w:color="auto"/>
              <w:right w:val="single" w:sz="4" w:space="0" w:color="auto"/>
            </w:tcBorders>
          </w:tcPr>
          <w:p w14:paraId="059067B4" w14:textId="7290F286" w:rsidR="004C7758" w:rsidRPr="00C80F8E" w:rsidRDefault="00B8789F" w:rsidP="004C7758">
            <w:pPr>
              <w:jc w:val="right"/>
              <w:rPr>
                <w:rFonts w:ascii="Abadi" w:hAnsi="Abadi" w:cstheme="minorHAnsi"/>
                <w:sz w:val="20"/>
                <w:szCs w:val="20"/>
                <w:lang w:val="es-ES_tradnl"/>
              </w:rPr>
            </w:pPr>
            <w:r w:rsidRPr="00C80F8E">
              <w:rPr>
                <w:rFonts w:ascii="Abadi" w:hAnsi="Abadi" w:cstheme="minorHAnsi"/>
                <w:sz w:val="20"/>
                <w:szCs w:val="20"/>
                <w:lang w:val="es-ES_tradnl"/>
              </w:rPr>
              <w:t>6,348,035.28</w:t>
            </w:r>
          </w:p>
        </w:tc>
        <w:tc>
          <w:tcPr>
            <w:tcW w:w="2125" w:type="dxa"/>
            <w:tcBorders>
              <w:top w:val="single" w:sz="4" w:space="0" w:color="auto"/>
              <w:left w:val="single" w:sz="4" w:space="0" w:color="auto"/>
              <w:bottom w:val="single" w:sz="4" w:space="0" w:color="auto"/>
              <w:right w:val="single" w:sz="4" w:space="0" w:color="auto"/>
            </w:tcBorders>
          </w:tcPr>
          <w:p w14:paraId="0FE706A3" w14:textId="3B0A1D93" w:rsidR="004C7758" w:rsidRPr="00C80F8E" w:rsidRDefault="00350E25" w:rsidP="004C7758">
            <w:pPr>
              <w:jc w:val="right"/>
              <w:rPr>
                <w:rFonts w:ascii="Abadi" w:hAnsi="Abadi" w:cstheme="minorHAnsi"/>
                <w:sz w:val="20"/>
                <w:szCs w:val="20"/>
                <w:lang w:val="es-ES_tradnl"/>
              </w:rPr>
            </w:pPr>
            <w:r w:rsidRPr="00C80F8E">
              <w:rPr>
                <w:rFonts w:ascii="Abadi" w:hAnsi="Abadi" w:cstheme="minorHAnsi"/>
                <w:sz w:val="20"/>
                <w:szCs w:val="20"/>
                <w:lang w:val="es-ES_tradnl"/>
              </w:rPr>
              <w:t>5,257,355.35</w:t>
            </w:r>
          </w:p>
        </w:tc>
      </w:tr>
      <w:tr w:rsidR="004C7758" w:rsidRPr="00C80F8E" w14:paraId="6526CEA8" w14:textId="77777777" w:rsidTr="008A27C6">
        <w:tc>
          <w:tcPr>
            <w:tcW w:w="4891" w:type="dxa"/>
            <w:tcBorders>
              <w:top w:val="single" w:sz="4" w:space="0" w:color="auto"/>
              <w:left w:val="single" w:sz="4" w:space="0" w:color="auto"/>
              <w:bottom w:val="single" w:sz="4" w:space="0" w:color="auto"/>
              <w:right w:val="single" w:sz="4" w:space="0" w:color="auto"/>
            </w:tcBorders>
          </w:tcPr>
          <w:p w14:paraId="4EAB0BCA" w14:textId="5DBA215F" w:rsidR="004C7758" w:rsidRPr="00C80F8E" w:rsidRDefault="004C7758" w:rsidP="004C7758">
            <w:pPr>
              <w:rPr>
                <w:rFonts w:ascii="Abadi" w:hAnsi="Abadi" w:cstheme="minorHAnsi"/>
                <w:b/>
                <w:bCs/>
                <w:sz w:val="20"/>
                <w:szCs w:val="20"/>
                <w:lang w:val="es-ES_tradnl"/>
              </w:rPr>
            </w:pPr>
            <w:r w:rsidRPr="00C80F8E">
              <w:rPr>
                <w:rFonts w:ascii="Abadi" w:hAnsi="Abadi" w:cstheme="minorHAnsi"/>
                <w:color w:val="000000"/>
                <w:sz w:val="20"/>
                <w:szCs w:val="20"/>
                <w:lang w:val="es-ES_tradnl"/>
              </w:rPr>
              <w:t>Seguros de Bienes Inmuebles</w:t>
            </w:r>
          </w:p>
        </w:tc>
        <w:tc>
          <w:tcPr>
            <w:tcW w:w="2268" w:type="dxa"/>
            <w:tcBorders>
              <w:top w:val="single" w:sz="4" w:space="0" w:color="auto"/>
              <w:left w:val="single" w:sz="4" w:space="0" w:color="auto"/>
              <w:bottom w:val="single" w:sz="4" w:space="0" w:color="auto"/>
              <w:right w:val="single" w:sz="4" w:space="0" w:color="auto"/>
            </w:tcBorders>
          </w:tcPr>
          <w:p w14:paraId="12F01F93" w14:textId="75FA3EF2" w:rsidR="004C7758" w:rsidRPr="00C80F8E" w:rsidRDefault="007C0D19" w:rsidP="004C7758">
            <w:pPr>
              <w:jc w:val="right"/>
              <w:rPr>
                <w:rFonts w:ascii="Abadi" w:hAnsi="Abadi" w:cstheme="minorHAnsi"/>
                <w:sz w:val="20"/>
                <w:szCs w:val="20"/>
                <w:lang w:val="es-ES_tradnl"/>
              </w:rPr>
            </w:pPr>
            <w:r w:rsidRPr="00C80F8E">
              <w:rPr>
                <w:rFonts w:ascii="Abadi" w:hAnsi="Abadi" w:cstheme="minorHAnsi"/>
                <w:sz w:val="20"/>
                <w:szCs w:val="20"/>
                <w:lang w:val="es-ES_tradnl"/>
              </w:rPr>
              <w:t>680</w:t>
            </w:r>
            <w:r w:rsidR="00EB640E" w:rsidRPr="00C80F8E">
              <w:rPr>
                <w:rFonts w:ascii="Abadi" w:hAnsi="Abadi" w:cstheme="minorHAnsi"/>
                <w:sz w:val="20"/>
                <w:szCs w:val="20"/>
                <w:lang w:val="es-ES_tradnl"/>
              </w:rPr>
              <w:t>,066.81</w:t>
            </w:r>
          </w:p>
        </w:tc>
        <w:tc>
          <w:tcPr>
            <w:tcW w:w="2125" w:type="dxa"/>
            <w:tcBorders>
              <w:top w:val="single" w:sz="4" w:space="0" w:color="auto"/>
              <w:left w:val="single" w:sz="4" w:space="0" w:color="auto"/>
              <w:bottom w:val="single" w:sz="4" w:space="0" w:color="auto"/>
              <w:right w:val="single" w:sz="4" w:space="0" w:color="auto"/>
            </w:tcBorders>
          </w:tcPr>
          <w:p w14:paraId="20F8000E" w14:textId="4959ACAD" w:rsidR="004C7758" w:rsidRPr="00C80F8E" w:rsidRDefault="001A4453" w:rsidP="004C7758">
            <w:pPr>
              <w:jc w:val="right"/>
              <w:rPr>
                <w:rFonts w:ascii="Abadi" w:hAnsi="Abadi" w:cstheme="minorHAnsi"/>
                <w:sz w:val="20"/>
                <w:szCs w:val="20"/>
                <w:lang w:val="es-ES_tradnl"/>
              </w:rPr>
            </w:pPr>
            <w:r w:rsidRPr="00C80F8E">
              <w:rPr>
                <w:rFonts w:ascii="Abadi" w:hAnsi="Abadi" w:cstheme="minorHAnsi"/>
                <w:sz w:val="20"/>
                <w:szCs w:val="20"/>
                <w:lang w:val="es-ES_tradnl"/>
              </w:rPr>
              <w:t>454,654.62</w:t>
            </w:r>
          </w:p>
        </w:tc>
      </w:tr>
      <w:tr w:rsidR="004C7758" w:rsidRPr="00C80F8E" w14:paraId="5A71D60A" w14:textId="77777777" w:rsidTr="008A27C6">
        <w:tc>
          <w:tcPr>
            <w:tcW w:w="4891" w:type="dxa"/>
            <w:tcBorders>
              <w:top w:val="single" w:sz="4" w:space="0" w:color="auto"/>
              <w:left w:val="single" w:sz="4" w:space="0" w:color="auto"/>
              <w:bottom w:val="single" w:sz="4" w:space="0" w:color="auto"/>
              <w:right w:val="single" w:sz="4" w:space="0" w:color="auto"/>
            </w:tcBorders>
          </w:tcPr>
          <w:p w14:paraId="75E0246E" w14:textId="40F65C91" w:rsidR="004C7758" w:rsidRPr="00C80F8E" w:rsidRDefault="004C7758" w:rsidP="004C7758">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Mant.  y Reparaciones Menores en Edificaciones</w:t>
            </w:r>
          </w:p>
        </w:tc>
        <w:tc>
          <w:tcPr>
            <w:tcW w:w="2268" w:type="dxa"/>
            <w:tcBorders>
              <w:top w:val="single" w:sz="4" w:space="0" w:color="auto"/>
              <w:left w:val="single" w:sz="4" w:space="0" w:color="auto"/>
              <w:bottom w:val="single" w:sz="4" w:space="0" w:color="auto"/>
              <w:right w:val="single" w:sz="4" w:space="0" w:color="auto"/>
            </w:tcBorders>
          </w:tcPr>
          <w:p w14:paraId="32E2775D" w14:textId="427192E6" w:rsidR="004C7758" w:rsidRPr="00C80F8E" w:rsidRDefault="00EB640E" w:rsidP="004C7758">
            <w:pPr>
              <w:jc w:val="right"/>
              <w:rPr>
                <w:rFonts w:ascii="Abadi" w:hAnsi="Abadi" w:cstheme="minorHAnsi"/>
                <w:sz w:val="20"/>
                <w:szCs w:val="20"/>
                <w:lang w:val="es-ES_tradnl"/>
              </w:rPr>
            </w:pPr>
            <w:r w:rsidRPr="00C80F8E">
              <w:rPr>
                <w:rFonts w:ascii="Abadi" w:hAnsi="Abadi" w:cstheme="minorHAnsi"/>
                <w:sz w:val="20"/>
                <w:szCs w:val="20"/>
                <w:lang w:val="es-ES_tradnl"/>
              </w:rPr>
              <w:t>102,756.05</w:t>
            </w:r>
          </w:p>
        </w:tc>
        <w:tc>
          <w:tcPr>
            <w:tcW w:w="2125" w:type="dxa"/>
            <w:tcBorders>
              <w:top w:val="single" w:sz="4" w:space="0" w:color="auto"/>
              <w:left w:val="single" w:sz="4" w:space="0" w:color="auto"/>
              <w:bottom w:val="single" w:sz="4" w:space="0" w:color="auto"/>
              <w:right w:val="single" w:sz="4" w:space="0" w:color="auto"/>
            </w:tcBorders>
          </w:tcPr>
          <w:p w14:paraId="3509F7BD" w14:textId="4C80F3DD" w:rsidR="004C7758" w:rsidRPr="00C80F8E" w:rsidRDefault="00B4362B" w:rsidP="004C7758">
            <w:pPr>
              <w:jc w:val="right"/>
              <w:rPr>
                <w:rFonts w:ascii="Abadi" w:hAnsi="Abadi" w:cstheme="minorHAnsi"/>
                <w:color w:val="000000"/>
                <w:sz w:val="20"/>
                <w:szCs w:val="20"/>
                <w:lang w:val="es-ES_tradnl"/>
              </w:rPr>
            </w:pPr>
            <w:r>
              <w:rPr>
                <w:rFonts w:ascii="Abadi" w:hAnsi="Abadi" w:cstheme="minorHAnsi"/>
                <w:color w:val="000000"/>
                <w:sz w:val="20"/>
                <w:szCs w:val="20"/>
                <w:lang w:val="es-ES_tradnl"/>
              </w:rPr>
              <w:t>0.00</w:t>
            </w:r>
          </w:p>
        </w:tc>
      </w:tr>
      <w:tr w:rsidR="004C7758" w:rsidRPr="00C80F8E" w14:paraId="3C19C76F" w14:textId="77777777" w:rsidTr="008A27C6">
        <w:tc>
          <w:tcPr>
            <w:tcW w:w="4891" w:type="dxa"/>
            <w:tcBorders>
              <w:top w:val="single" w:sz="4" w:space="0" w:color="auto"/>
              <w:left w:val="single" w:sz="4" w:space="0" w:color="auto"/>
              <w:bottom w:val="single" w:sz="4" w:space="0" w:color="auto"/>
              <w:right w:val="single" w:sz="4" w:space="0" w:color="auto"/>
            </w:tcBorders>
          </w:tcPr>
          <w:p w14:paraId="432E09C7" w14:textId="71C4EDF4" w:rsidR="004C7758" w:rsidRPr="00C80F8E" w:rsidRDefault="004C7758" w:rsidP="004C7758">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 xml:space="preserve">Servicios Especiales en Mantenimiento y Reparación       </w:t>
            </w:r>
          </w:p>
        </w:tc>
        <w:tc>
          <w:tcPr>
            <w:tcW w:w="2268" w:type="dxa"/>
            <w:tcBorders>
              <w:top w:val="single" w:sz="4" w:space="0" w:color="auto"/>
              <w:left w:val="single" w:sz="4" w:space="0" w:color="auto"/>
              <w:bottom w:val="single" w:sz="4" w:space="0" w:color="auto"/>
              <w:right w:val="single" w:sz="4" w:space="0" w:color="auto"/>
            </w:tcBorders>
          </w:tcPr>
          <w:p w14:paraId="5839DD5A" w14:textId="1024F632" w:rsidR="004C7758" w:rsidRPr="00C80F8E" w:rsidRDefault="00A91A3C" w:rsidP="004C7758">
            <w:pPr>
              <w:jc w:val="right"/>
              <w:rPr>
                <w:rFonts w:ascii="Abadi" w:hAnsi="Abadi" w:cstheme="minorHAnsi"/>
                <w:sz w:val="20"/>
                <w:szCs w:val="20"/>
                <w:lang w:val="es-ES_tradnl"/>
              </w:rPr>
            </w:pPr>
            <w:r w:rsidRPr="00C80F8E">
              <w:rPr>
                <w:rFonts w:ascii="Abadi" w:hAnsi="Abadi" w:cstheme="minorHAnsi"/>
                <w:sz w:val="20"/>
                <w:szCs w:val="20"/>
                <w:lang w:val="es-ES_tradnl"/>
              </w:rPr>
              <w:t>84,960.00</w:t>
            </w:r>
          </w:p>
        </w:tc>
        <w:tc>
          <w:tcPr>
            <w:tcW w:w="2125" w:type="dxa"/>
            <w:tcBorders>
              <w:top w:val="single" w:sz="4" w:space="0" w:color="auto"/>
              <w:left w:val="single" w:sz="4" w:space="0" w:color="auto"/>
              <w:bottom w:val="single" w:sz="4" w:space="0" w:color="auto"/>
              <w:right w:val="single" w:sz="4" w:space="0" w:color="auto"/>
            </w:tcBorders>
          </w:tcPr>
          <w:p w14:paraId="3EED992A" w14:textId="3321C1B4" w:rsidR="004C7758" w:rsidRPr="00C80F8E" w:rsidRDefault="0029050B" w:rsidP="004C7758">
            <w:pPr>
              <w:jc w:val="right"/>
              <w:rPr>
                <w:rFonts w:ascii="Abadi" w:hAnsi="Abadi" w:cstheme="minorHAnsi"/>
                <w:sz w:val="20"/>
                <w:szCs w:val="20"/>
                <w:lang w:val="es-ES_tradnl"/>
              </w:rPr>
            </w:pPr>
            <w:r w:rsidRPr="00C80F8E">
              <w:rPr>
                <w:rFonts w:ascii="Abadi" w:hAnsi="Abadi" w:cstheme="minorHAnsi"/>
                <w:sz w:val="20"/>
                <w:szCs w:val="20"/>
                <w:lang w:val="es-ES_tradnl"/>
              </w:rPr>
              <w:t>154,025.40</w:t>
            </w:r>
          </w:p>
        </w:tc>
      </w:tr>
      <w:tr w:rsidR="004C7758" w:rsidRPr="00C80F8E" w14:paraId="30D80B41" w14:textId="77777777" w:rsidTr="008A27C6">
        <w:tc>
          <w:tcPr>
            <w:tcW w:w="4891" w:type="dxa"/>
            <w:tcBorders>
              <w:top w:val="single" w:sz="4" w:space="0" w:color="auto"/>
              <w:left w:val="single" w:sz="4" w:space="0" w:color="auto"/>
              <w:bottom w:val="single" w:sz="4" w:space="0" w:color="auto"/>
              <w:right w:val="single" w:sz="4" w:space="0" w:color="auto"/>
            </w:tcBorders>
          </w:tcPr>
          <w:p w14:paraId="6536BD7E" w14:textId="217808CD" w:rsidR="004C7758" w:rsidRPr="00C80F8E" w:rsidRDefault="004C7758" w:rsidP="004C7758">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Mantenimiento y Reparación de </w:t>
            </w:r>
            <w:r w:rsidR="00EA28DE" w:rsidRPr="00C80F8E">
              <w:rPr>
                <w:rFonts w:ascii="Abadi" w:hAnsi="Abadi" w:cstheme="minorHAnsi"/>
                <w:color w:val="000000"/>
                <w:sz w:val="20"/>
                <w:szCs w:val="20"/>
                <w:lang w:val="es-ES_tradnl"/>
              </w:rPr>
              <w:t>Equipos</w:t>
            </w:r>
            <w:r w:rsidRPr="00C80F8E">
              <w:rPr>
                <w:rFonts w:ascii="Abadi" w:hAnsi="Abadi" w:cstheme="minorHAnsi"/>
                <w:color w:val="000000"/>
                <w:sz w:val="20"/>
                <w:szCs w:val="20"/>
                <w:lang w:val="es-ES_tradnl"/>
              </w:rPr>
              <w:t xml:space="preserve">. de </w:t>
            </w:r>
            <w:proofErr w:type="spellStart"/>
            <w:r w:rsidRPr="00C80F8E">
              <w:rPr>
                <w:rFonts w:ascii="Abadi" w:hAnsi="Abadi" w:cstheme="minorHAnsi"/>
                <w:color w:val="000000"/>
                <w:sz w:val="20"/>
                <w:szCs w:val="20"/>
                <w:lang w:val="es-ES_tradnl"/>
              </w:rPr>
              <w:t>Transp</w:t>
            </w:r>
            <w:proofErr w:type="spellEnd"/>
            <w:r w:rsidRPr="00C80F8E">
              <w:rPr>
                <w:rFonts w:ascii="Abadi" w:hAnsi="Abadi" w:cstheme="minorHAnsi"/>
                <w:color w:val="000000"/>
                <w:sz w:val="20"/>
                <w:szCs w:val="20"/>
                <w:lang w:val="es-ES_tradnl"/>
              </w:rPr>
              <w:t>.</w:t>
            </w:r>
          </w:p>
        </w:tc>
        <w:tc>
          <w:tcPr>
            <w:tcW w:w="2268" w:type="dxa"/>
            <w:tcBorders>
              <w:top w:val="single" w:sz="4" w:space="0" w:color="auto"/>
              <w:left w:val="single" w:sz="4" w:space="0" w:color="auto"/>
              <w:bottom w:val="single" w:sz="4" w:space="0" w:color="auto"/>
              <w:right w:val="single" w:sz="4" w:space="0" w:color="auto"/>
            </w:tcBorders>
          </w:tcPr>
          <w:p w14:paraId="0010648B" w14:textId="53527B7B" w:rsidR="004C7758" w:rsidRPr="00C80F8E" w:rsidRDefault="00710239" w:rsidP="004C7758">
            <w:pPr>
              <w:jc w:val="right"/>
              <w:rPr>
                <w:rFonts w:ascii="Abadi" w:hAnsi="Abadi" w:cstheme="minorHAnsi"/>
                <w:sz w:val="20"/>
                <w:szCs w:val="20"/>
                <w:lang w:val="es-ES_tradnl"/>
              </w:rPr>
            </w:pPr>
            <w:r w:rsidRPr="00C80F8E">
              <w:rPr>
                <w:rFonts w:ascii="Abadi" w:hAnsi="Abadi" w:cstheme="minorHAnsi"/>
                <w:sz w:val="20"/>
                <w:szCs w:val="20"/>
                <w:lang w:val="es-ES_tradnl"/>
              </w:rPr>
              <w:t>57,908.50</w:t>
            </w:r>
          </w:p>
        </w:tc>
        <w:tc>
          <w:tcPr>
            <w:tcW w:w="2125" w:type="dxa"/>
            <w:tcBorders>
              <w:top w:val="single" w:sz="4" w:space="0" w:color="auto"/>
              <w:left w:val="single" w:sz="4" w:space="0" w:color="auto"/>
              <w:bottom w:val="single" w:sz="4" w:space="0" w:color="auto"/>
              <w:right w:val="single" w:sz="4" w:space="0" w:color="auto"/>
            </w:tcBorders>
          </w:tcPr>
          <w:p w14:paraId="0FEDCCD7" w14:textId="6669DECA" w:rsidR="004C7758" w:rsidRPr="00C80F8E" w:rsidRDefault="0037396D" w:rsidP="004C7758">
            <w:pPr>
              <w:jc w:val="right"/>
              <w:rPr>
                <w:rFonts w:ascii="Abadi" w:hAnsi="Abadi" w:cstheme="minorHAnsi"/>
                <w:sz w:val="20"/>
                <w:szCs w:val="20"/>
                <w:lang w:val="es-ES_tradnl"/>
              </w:rPr>
            </w:pPr>
            <w:r w:rsidRPr="00C80F8E">
              <w:rPr>
                <w:rFonts w:ascii="Abadi" w:hAnsi="Abadi" w:cstheme="minorHAnsi"/>
                <w:sz w:val="20"/>
                <w:szCs w:val="20"/>
                <w:lang w:val="es-ES_tradnl"/>
              </w:rPr>
              <w:t>95,594.50</w:t>
            </w:r>
          </w:p>
        </w:tc>
      </w:tr>
      <w:tr w:rsidR="00075191" w:rsidRPr="00C80F8E" w14:paraId="52E95DF3" w14:textId="77777777" w:rsidTr="008A27C6">
        <w:tc>
          <w:tcPr>
            <w:tcW w:w="4891" w:type="dxa"/>
            <w:tcBorders>
              <w:top w:val="single" w:sz="4" w:space="0" w:color="auto"/>
              <w:left w:val="single" w:sz="4" w:space="0" w:color="auto"/>
              <w:bottom w:val="single" w:sz="4" w:space="0" w:color="auto"/>
              <w:right w:val="single" w:sz="4" w:space="0" w:color="auto"/>
            </w:tcBorders>
          </w:tcPr>
          <w:p w14:paraId="13D145E7" w14:textId="283BD2DD" w:rsidR="00075191" w:rsidRPr="00C80F8E" w:rsidRDefault="000B1443" w:rsidP="004C7758">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Instalaciones Eléctricas</w:t>
            </w:r>
          </w:p>
        </w:tc>
        <w:tc>
          <w:tcPr>
            <w:tcW w:w="2268" w:type="dxa"/>
            <w:tcBorders>
              <w:top w:val="single" w:sz="4" w:space="0" w:color="auto"/>
              <w:left w:val="single" w:sz="4" w:space="0" w:color="auto"/>
              <w:bottom w:val="single" w:sz="4" w:space="0" w:color="auto"/>
              <w:right w:val="single" w:sz="4" w:space="0" w:color="auto"/>
            </w:tcBorders>
          </w:tcPr>
          <w:p w14:paraId="5E73750D" w14:textId="76CE55D8" w:rsidR="00075191" w:rsidRPr="00C80F8E" w:rsidRDefault="00710239" w:rsidP="004C7758">
            <w:pPr>
              <w:jc w:val="right"/>
              <w:rPr>
                <w:rFonts w:ascii="Abadi" w:hAnsi="Abadi"/>
                <w:iCs/>
                <w:color w:val="000000"/>
                <w:sz w:val="20"/>
                <w:szCs w:val="20"/>
                <w:lang w:val="es-ES_tradnl"/>
              </w:rPr>
            </w:pPr>
            <w:r w:rsidRPr="00C80F8E">
              <w:rPr>
                <w:rFonts w:ascii="Abadi" w:hAnsi="Abadi"/>
                <w:iCs/>
                <w:color w:val="000000"/>
                <w:sz w:val="20"/>
                <w:szCs w:val="20"/>
                <w:lang w:val="es-ES_tradnl"/>
              </w:rPr>
              <w:t>272,800.00</w:t>
            </w:r>
          </w:p>
        </w:tc>
        <w:tc>
          <w:tcPr>
            <w:tcW w:w="2125" w:type="dxa"/>
            <w:tcBorders>
              <w:top w:val="single" w:sz="4" w:space="0" w:color="auto"/>
              <w:left w:val="single" w:sz="4" w:space="0" w:color="auto"/>
              <w:bottom w:val="single" w:sz="4" w:space="0" w:color="auto"/>
              <w:right w:val="single" w:sz="4" w:space="0" w:color="auto"/>
            </w:tcBorders>
          </w:tcPr>
          <w:p w14:paraId="0E5E4E2A" w14:textId="524E78C6" w:rsidR="00075191" w:rsidRPr="00C80F8E" w:rsidRDefault="00365278" w:rsidP="004C7758">
            <w:pPr>
              <w:jc w:val="right"/>
              <w:rPr>
                <w:rFonts w:ascii="Abadi" w:hAnsi="Abadi"/>
                <w:iCs/>
                <w:color w:val="000000"/>
                <w:sz w:val="20"/>
                <w:szCs w:val="20"/>
                <w:lang w:val="es-ES_tradnl"/>
              </w:rPr>
            </w:pPr>
            <w:r>
              <w:rPr>
                <w:rFonts w:ascii="Abadi" w:hAnsi="Abadi"/>
                <w:iCs/>
                <w:color w:val="000000"/>
                <w:sz w:val="20"/>
                <w:szCs w:val="20"/>
                <w:lang w:val="es-ES_tradnl"/>
              </w:rPr>
              <w:t>0.00</w:t>
            </w:r>
          </w:p>
        </w:tc>
      </w:tr>
      <w:tr w:rsidR="004C7758" w:rsidRPr="00C80F8E" w14:paraId="6823A108" w14:textId="77777777" w:rsidTr="008A27C6">
        <w:tc>
          <w:tcPr>
            <w:tcW w:w="4891" w:type="dxa"/>
            <w:tcBorders>
              <w:top w:val="single" w:sz="4" w:space="0" w:color="auto"/>
              <w:left w:val="single" w:sz="4" w:space="0" w:color="auto"/>
              <w:bottom w:val="single" w:sz="4" w:space="0" w:color="auto"/>
              <w:right w:val="single" w:sz="4" w:space="0" w:color="auto"/>
            </w:tcBorders>
          </w:tcPr>
          <w:p w14:paraId="2799AAE1" w14:textId="38A67D16" w:rsidR="004C7758" w:rsidRPr="00C80F8E" w:rsidRDefault="004C7758" w:rsidP="004C7758">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Servicios de Mant. Reparación, desmontaje e </w:t>
            </w:r>
            <w:proofErr w:type="spellStart"/>
            <w:r w:rsidRPr="00C80F8E">
              <w:rPr>
                <w:rFonts w:ascii="Abadi" w:hAnsi="Abadi" w:cstheme="minorHAnsi"/>
                <w:color w:val="000000"/>
                <w:sz w:val="20"/>
                <w:szCs w:val="20"/>
                <w:lang w:val="es-ES_tradnl"/>
              </w:rPr>
              <w:t>instal</w:t>
            </w:r>
            <w:proofErr w:type="spellEnd"/>
          </w:p>
        </w:tc>
        <w:tc>
          <w:tcPr>
            <w:tcW w:w="2268" w:type="dxa"/>
            <w:tcBorders>
              <w:top w:val="single" w:sz="4" w:space="0" w:color="auto"/>
              <w:left w:val="single" w:sz="4" w:space="0" w:color="auto"/>
              <w:bottom w:val="single" w:sz="4" w:space="0" w:color="auto"/>
              <w:right w:val="single" w:sz="4" w:space="0" w:color="auto"/>
            </w:tcBorders>
          </w:tcPr>
          <w:p w14:paraId="4D3D3A40" w14:textId="7B8C8B67" w:rsidR="004C7758" w:rsidRPr="00C80F8E" w:rsidRDefault="00305B77" w:rsidP="004C7758">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top w:val="single" w:sz="4" w:space="0" w:color="auto"/>
              <w:left w:val="single" w:sz="4" w:space="0" w:color="auto"/>
              <w:bottom w:val="single" w:sz="4" w:space="0" w:color="auto"/>
              <w:right w:val="single" w:sz="4" w:space="0" w:color="auto"/>
            </w:tcBorders>
          </w:tcPr>
          <w:p w14:paraId="40F09226" w14:textId="54B7E4A4" w:rsidR="004C7758" w:rsidRPr="00C80F8E" w:rsidRDefault="00147016" w:rsidP="004C7758">
            <w:pPr>
              <w:jc w:val="right"/>
              <w:rPr>
                <w:rFonts w:ascii="Abadi" w:hAnsi="Abadi" w:cstheme="minorHAnsi"/>
                <w:sz w:val="20"/>
                <w:szCs w:val="20"/>
                <w:lang w:val="es-ES_tradnl"/>
              </w:rPr>
            </w:pPr>
            <w:r w:rsidRPr="00C80F8E">
              <w:rPr>
                <w:rFonts w:ascii="Abadi" w:hAnsi="Abadi" w:cstheme="minorHAnsi"/>
                <w:sz w:val="20"/>
                <w:szCs w:val="20"/>
                <w:lang w:val="es-ES_tradnl"/>
              </w:rPr>
              <w:t>76,700.00</w:t>
            </w:r>
          </w:p>
        </w:tc>
      </w:tr>
      <w:tr w:rsidR="00DC460B" w:rsidRPr="00C80F8E" w14:paraId="7EE846EC" w14:textId="77777777" w:rsidTr="008A27C6">
        <w:tc>
          <w:tcPr>
            <w:tcW w:w="4891" w:type="dxa"/>
            <w:tcBorders>
              <w:top w:val="single" w:sz="4" w:space="0" w:color="auto"/>
              <w:left w:val="single" w:sz="4" w:space="0" w:color="auto"/>
              <w:bottom w:val="single" w:sz="4" w:space="0" w:color="auto"/>
              <w:right w:val="single" w:sz="4" w:space="0" w:color="auto"/>
            </w:tcBorders>
          </w:tcPr>
          <w:p w14:paraId="6514A272" w14:textId="2C30DB62" w:rsidR="00DC460B" w:rsidRPr="00C80F8E" w:rsidRDefault="00DC460B" w:rsidP="00DC460B">
            <w:pPr>
              <w:rPr>
                <w:rFonts w:ascii="Abadi" w:hAnsi="Abadi" w:cstheme="minorHAnsi"/>
                <w:b/>
                <w:bCs/>
                <w:sz w:val="20"/>
                <w:szCs w:val="20"/>
                <w:lang w:val="es-ES_tradnl"/>
              </w:rPr>
            </w:pPr>
            <w:r w:rsidRPr="00C80F8E">
              <w:rPr>
                <w:rFonts w:ascii="Abadi" w:hAnsi="Abadi" w:cstheme="minorHAnsi"/>
                <w:color w:val="000000"/>
                <w:sz w:val="20"/>
                <w:szCs w:val="20"/>
                <w:lang w:val="es-ES_tradnl"/>
              </w:rPr>
              <w:t xml:space="preserve">Mantenimiento y Reparación de Equipos de </w:t>
            </w:r>
            <w:proofErr w:type="spellStart"/>
            <w:r w:rsidRPr="00C80F8E">
              <w:rPr>
                <w:rFonts w:ascii="Abadi" w:hAnsi="Abadi" w:cstheme="minorHAnsi"/>
                <w:color w:val="000000"/>
                <w:sz w:val="20"/>
                <w:szCs w:val="20"/>
                <w:lang w:val="es-ES_tradnl"/>
              </w:rPr>
              <w:t>Prod</w:t>
            </w:r>
            <w:proofErr w:type="spellEnd"/>
            <w:r w:rsidRPr="00C80F8E">
              <w:rPr>
                <w:rFonts w:ascii="Abadi" w:hAnsi="Abadi" w:cstheme="minorHAnsi"/>
                <w:color w:val="000000"/>
                <w:sz w:val="20"/>
                <w:szCs w:val="20"/>
                <w:lang w:val="es-ES_tradnl"/>
              </w:rPr>
              <w:t>.</w:t>
            </w:r>
          </w:p>
        </w:tc>
        <w:tc>
          <w:tcPr>
            <w:tcW w:w="2268" w:type="dxa"/>
            <w:tcBorders>
              <w:top w:val="single" w:sz="4" w:space="0" w:color="auto"/>
              <w:left w:val="single" w:sz="4" w:space="0" w:color="auto"/>
              <w:bottom w:val="single" w:sz="4" w:space="0" w:color="auto"/>
              <w:right w:val="single" w:sz="4" w:space="0" w:color="auto"/>
            </w:tcBorders>
          </w:tcPr>
          <w:p w14:paraId="63A8C9ED" w14:textId="51DC2FD6" w:rsidR="00DC460B" w:rsidRPr="00C80F8E" w:rsidRDefault="00537B91" w:rsidP="00DC460B">
            <w:pPr>
              <w:jc w:val="right"/>
              <w:rPr>
                <w:rFonts w:ascii="Abadi" w:hAnsi="Abadi" w:cstheme="minorHAnsi"/>
                <w:sz w:val="20"/>
                <w:szCs w:val="20"/>
                <w:lang w:val="es-ES_tradnl"/>
              </w:rPr>
            </w:pPr>
            <w:r w:rsidRPr="00C80F8E">
              <w:rPr>
                <w:rFonts w:ascii="Abadi" w:hAnsi="Abadi" w:cstheme="minorHAnsi"/>
                <w:sz w:val="20"/>
                <w:szCs w:val="20"/>
                <w:lang w:val="es-ES_tradnl"/>
              </w:rPr>
              <w:t>6,324.21</w:t>
            </w:r>
          </w:p>
        </w:tc>
        <w:tc>
          <w:tcPr>
            <w:tcW w:w="2125" w:type="dxa"/>
            <w:tcBorders>
              <w:top w:val="single" w:sz="4" w:space="0" w:color="auto"/>
              <w:left w:val="single" w:sz="4" w:space="0" w:color="auto"/>
              <w:bottom w:val="single" w:sz="4" w:space="0" w:color="auto"/>
              <w:right w:val="single" w:sz="4" w:space="0" w:color="auto"/>
            </w:tcBorders>
          </w:tcPr>
          <w:p w14:paraId="5D57731F" w14:textId="71CECF96" w:rsidR="00DC460B" w:rsidRPr="00C80F8E" w:rsidRDefault="00147016" w:rsidP="00DC460B">
            <w:pPr>
              <w:jc w:val="right"/>
              <w:rPr>
                <w:rFonts w:ascii="Abadi" w:hAnsi="Abadi" w:cstheme="minorHAnsi"/>
                <w:sz w:val="20"/>
                <w:szCs w:val="20"/>
                <w:lang w:val="es-ES_tradnl"/>
              </w:rPr>
            </w:pPr>
            <w:r w:rsidRPr="00C80F8E">
              <w:rPr>
                <w:rFonts w:ascii="Abadi" w:hAnsi="Abadi" w:cstheme="minorHAnsi"/>
                <w:sz w:val="20"/>
                <w:szCs w:val="20"/>
                <w:lang w:val="es-ES_tradnl"/>
              </w:rPr>
              <w:t>85,807.95</w:t>
            </w:r>
          </w:p>
        </w:tc>
      </w:tr>
      <w:tr w:rsidR="008F7D7F" w:rsidRPr="00C80F8E" w14:paraId="76EEB852" w14:textId="77777777" w:rsidTr="008A27C6">
        <w:tc>
          <w:tcPr>
            <w:tcW w:w="4891" w:type="dxa"/>
            <w:tcBorders>
              <w:top w:val="single" w:sz="4" w:space="0" w:color="auto"/>
              <w:left w:val="single" w:sz="4" w:space="0" w:color="auto"/>
              <w:bottom w:val="single" w:sz="4" w:space="0" w:color="auto"/>
              <w:right w:val="single" w:sz="4" w:space="0" w:color="auto"/>
            </w:tcBorders>
          </w:tcPr>
          <w:p w14:paraId="2D6325AE" w14:textId="695D08A1" w:rsidR="008F7D7F" w:rsidRPr="00C80F8E" w:rsidRDefault="008F7D7F" w:rsidP="008F7D7F">
            <w:pPr>
              <w:rPr>
                <w:rFonts w:ascii="Abadi" w:hAnsi="Abadi" w:cstheme="minorHAnsi"/>
                <w:b/>
                <w:bCs/>
                <w:sz w:val="20"/>
                <w:szCs w:val="20"/>
                <w:lang w:val="es-ES_tradnl"/>
              </w:rPr>
            </w:pPr>
            <w:r w:rsidRPr="00C80F8E">
              <w:rPr>
                <w:rFonts w:ascii="Abadi" w:hAnsi="Abadi" w:cstheme="minorHAnsi"/>
                <w:color w:val="000000"/>
                <w:sz w:val="20"/>
                <w:szCs w:val="20"/>
                <w:lang w:val="es-ES_tradnl"/>
              </w:rPr>
              <w:t>Fumigación</w:t>
            </w:r>
          </w:p>
        </w:tc>
        <w:tc>
          <w:tcPr>
            <w:tcW w:w="2268" w:type="dxa"/>
            <w:tcBorders>
              <w:top w:val="single" w:sz="4" w:space="0" w:color="auto"/>
              <w:left w:val="single" w:sz="4" w:space="0" w:color="auto"/>
              <w:bottom w:val="single" w:sz="4" w:space="0" w:color="auto"/>
              <w:right w:val="single" w:sz="4" w:space="0" w:color="auto"/>
            </w:tcBorders>
          </w:tcPr>
          <w:p w14:paraId="4FA94C11" w14:textId="2D5B9C64"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169,133.32</w:t>
            </w:r>
          </w:p>
        </w:tc>
        <w:tc>
          <w:tcPr>
            <w:tcW w:w="2125" w:type="dxa"/>
            <w:tcBorders>
              <w:top w:val="single" w:sz="4" w:space="0" w:color="auto"/>
              <w:left w:val="single" w:sz="4" w:space="0" w:color="auto"/>
              <w:bottom w:val="single" w:sz="4" w:space="0" w:color="auto"/>
              <w:right w:val="single" w:sz="4" w:space="0" w:color="auto"/>
            </w:tcBorders>
          </w:tcPr>
          <w:p w14:paraId="2CD8096F" w14:textId="59B122E5"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65,136.00</w:t>
            </w:r>
          </w:p>
        </w:tc>
      </w:tr>
      <w:tr w:rsidR="008F7D7F" w:rsidRPr="00C80F8E" w14:paraId="6231B5D2" w14:textId="77777777" w:rsidTr="008A27C6">
        <w:tc>
          <w:tcPr>
            <w:tcW w:w="4891" w:type="dxa"/>
            <w:tcBorders>
              <w:top w:val="single" w:sz="4" w:space="0" w:color="auto"/>
              <w:left w:val="single" w:sz="4" w:space="0" w:color="auto"/>
              <w:bottom w:val="single" w:sz="4" w:space="0" w:color="auto"/>
              <w:right w:val="single" w:sz="4" w:space="0" w:color="auto"/>
            </w:tcBorders>
          </w:tcPr>
          <w:p w14:paraId="74407EC8" w14:textId="3120F403" w:rsidR="008F7D7F" w:rsidRPr="00C80F8E" w:rsidRDefault="008F7D7F" w:rsidP="008F7D7F">
            <w:pPr>
              <w:rPr>
                <w:rFonts w:ascii="Abadi" w:hAnsi="Abadi" w:cstheme="minorHAnsi"/>
                <w:b/>
                <w:bCs/>
                <w:sz w:val="20"/>
                <w:szCs w:val="20"/>
                <w:lang w:val="es-ES_tradnl"/>
              </w:rPr>
            </w:pPr>
            <w:r w:rsidRPr="00C80F8E">
              <w:rPr>
                <w:rFonts w:ascii="Abadi" w:hAnsi="Abadi" w:cstheme="minorHAnsi"/>
                <w:color w:val="000000"/>
                <w:sz w:val="20"/>
                <w:szCs w:val="20"/>
                <w:lang w:val="es-ES_tradnl"/>
              </w:rPr>
              <w:t>Limpieza e Higiene</w:t>
            </w:r>
          </w:p>
        </w:tc>
        <w:tc>
          <w:tcPr>
            <w:tcW w:w="2268" w:type="dxa"/>
            <w:tcBorders>
              <w:top w:val="single" w:sz="4" w:space="0" w:color="auto"/>
              <w:left w:val="single" w:sz="4" w:space="0" w:color="auto"/>
              <w:bottom w:val="single" w:sz="4" w:space="0" w:color="auto"/>
              <w:right w:val="single" w:sz="4" w:space="0" w:color="auto"/>
            </w:tcBorders>
          </w:tcPr>
          <w:p w14:paraId="694CBA83" w14:textId="657D9403" w:rsidR="008F7D7F" w:rsidRPr="00C80F8E" w:rsidRDefault="00AE3FC0" w:rsidP="008F7D7F">
            <w:pPr>
              <w:jc w:val="right"/>
              <w:rPr>
                <w:rFonts w:ascii="Abadi" w:hAnsi="Abadi" w:cstheme="minorHAnsi"/>
                <w:sz w:val="20"/>
                <w:szCs w:val="20"/>
                <w:lang w:val="es-ES_tradnl"/>
              </w:rPr>
            </w:pPr>
            <w:r w:rsidRPr="00C80F8E">
              <w:rPr>
                <w:rFonts w:ascii="Abadi" w:hAnsi="Abadi" w:cstheme="minorHAnsi"/>
                <w:sz w:val="20"/>
                <w:szCs w:val="20"/>
                <w:lang w:val="es-ES_tradnl"/>
              </w:rPr>
              <w:t>248,661.10</w:t>
            </w:r>
          </w:p>
        </w:tc>
        <w:tc>
          <w:tcPr>
            <w:tcW w:w="2125" w:type="dxa"/>
            <w:tcBorders>
              <w:top w:val="single" w:sz="4" w:space="0" w:color="auto"/>
              <w:left w:val="single" w:sz="4" w:space="0" w:color="auto"/>
              <w:bottom w:val="single" w:sz="4" w:space="0" w:color="auto"/>
              <w:right w:val="single" w:sz="4" w:space="0" w:color="auto"/>
            </w:tcBorders>
          </w:tcPr>
          <w:p w14:paraId="3F9C172B" w14:textId="7493A9A3"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412,879.80</w:t>
            </w:r>
          </w:p>
        </w:tc>
      </w:tr>
      <w:tr w:rsidR="008F7D7F" w:rsidRPr="00C80F8E" w14:paraId="14A761EE" w14:textId="77777777" w:rsidTr="008A27C6">
        <w:tc>
          <w:tcPr>
            <w:tcW w:w="4891" w:type="dxa"/>
            <w:tcBorders>
              <w:top w:val="single" w:sz="4" w:space="0" w:color="auto"/>
              <w:left w:val="single" w:sz="4" w:space="0" w:color="auto"/>
              <w:bottom w:val="single" w:sz="4" w:space="0" w:color="auto"/>
              <w:right w:val="single" w:sz="4" w:space="0" w:color="auto"/>
            </w:tcBorders>
          </w:tcPr>
          <w:p w14:paraId="38395494" w14:textId="583DE3AA" w:rsidR="008F7D7F" w:rsidRPr="00C80F8E" w:rsidRDefault="008F7D7F" w:rsidP="008F7D7F">
            <w:pPr>
              <w:rPr>
                <w:rFonts w:ascii="Abadi" w:hAnsi="Abadi" w:cstheme="minorHAnsi"/>
                <w:b/>
                <w:bCs/>
                <w:sz w:val="20"/>
                <w:szCs w:val="20"/>
                <w:lang w:val="es-ES_tradnl"/>
              </w:rPr>
            </w:pPr>
            <w:r w:rsidRPr="00C80F8E">
              <w:rPr>
                <w:rFonts w:ascii="Abadi" w:hAnsi="Abadi" w:cstheme="minorHAnsi"/>
                <w:color w:val="000000"/>
                <w:sz w:val="20"/>
                <w:szCs w:val="20"/>
                <w:lang w:val="es-ES_tradnl"/>
              </w:rPr>
              <w:t>Eventos Generales</w:t>
            </w:r>
          </w:p>
        </w:tc>
        <w:tc>
          <w:tcPr>
            <w:tcW w:w="2268" w:type="dxa"/>
            <w:tcBorders>
              <w:top w:val="single" w:sz="4" w:space="0" w:color="auto"/>
              <w:left w:val="single" w:sz="4" w:space="0" w:color="auto"/>
              <w:bottom w:val="single" w:sz="4" w:space="0" w:color="auto"/>
              <w:right w:val="single" w:sz="4" w:space="0" w:color="auto"/>
            </w:tcBorders>
          </w:tcPr>
          <w:p w14:paraId="0A6E7E59" w14:textId="7CC247B5" w:rsidR="008F7D7F" w:rsidRPr="00C80F8E" w:rsidRDefault="001C71B1" w:rsidP="008F7D7F">
            <w:pPr>
              <w:jc w:val="right"/>
              <w:rPr>
                <w:rFonts w:ascii="Abadi" w:hAnsi="Abadi" w:cstheme="minorHAnsi"/>
                <w:sz w:val="20"/>
                <w:szCs w:val="20"/>
                <w:lang w:val="es-ES_tradnl"/>
              </w:rPr>
            </w:pPr>
            <w:r w:rsidRPr="00C80F8E">
              <w:rPr>
                <w:rFonts w:ascii="Abadi" w:hAnsi="Abadi" w:cstheme="minorHAnsi"/>
                <w:sz w:val="20"/>
                <w:szCs w:val="20"/>
                <w:lang w:val="es-ES_tradnl"/>
              </w:rPr>
              <w:t>286,040.00</w:t>
            </w:r>
          </w:p>
        </w:tc>
        <w:tc>
          <w:tcPr>
            <w:tcW w:w="2125" w:type="dxa"/>
            <w:tcBorders>
              <w:top w:val="single" w:sz="4" w:space="0" w:color="auto"/>
              <w:left w:val="single" w:sz="4" w:space="0" w:color="auto"/>
              <w:bottom w:val="single" w:sz="4" w:space="0" w:color="auto"/>
              <w:right w:val="single" w:sz="4" w:space="0" w:color="auto"/>
            </w:tcBorders>
          </w:tcPr>
          <w:p w14:paraId="4BF1C1DF" w14:textId="4555E466"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480,799.52</w:t>
            </w:r>
          </w:p>
        </w:tc>
      </w:tr>
      <w:tr w:rsidR="008F7D7F" w:rsidRPr="00C80F8E" w14:paraId="72CFDC5F" w14:textId="77777777" w:rsidTr="008A27C6">
        <w:tc>
          <w:tcPr>
            <w:tcW w:w="4891" w:type="dxa"/>
            <w:tcBorders>
              <w:top w:val="single" w:sz="4" w:space="0" w:color="auto"/>
              <w:left w:val="single" w:sz="4" w:space="0" w:color="auto"/>
              <w:bottom w:val="single" w:sz="4" w:space="0" w:color="auto"/>
              <w:right w:val="single" w:sz="4" w:space="0" w:color="auto"/>
            </w:tcBorders>
          </w:tcPr>
          <w:p w14:paraId="32A00AD3" w14:textId="5F465915" w:rsidR="008F7D7F" w:rsidRPr="00C80F8E" w:rsidRDefault="008F7D7F" w:rsidP="008F7D7F">
            <w:pPr>
              <w:rPr>
                <w:rFonts w:ascii="Abadi" w:hAnsi="Abadi" w:cstheme="minorHAnsi"/>
                <w:color w:val="000000"/>
                <w:sz w:val="20"/>
                <w:szCs w:val="20"/>
                <w:lang w:val="es-ES_tradnl"/>
              </w:rPr>
            </w:pPr>
            <w:r w:rsidRPr="00C80F8E">
              <w:rPr>
                <w:rFonts w:ascii="Abadi" w:hAnsi="Abadi" w:cstheme="minorHAnsi"/>
                <w:color w:val="000000"/>
                <w:sz w:val="20"/>
                <w:szCs w:val="20"/>
                <w:lang w:val="es-ES_tradnl"/>
              </w:rPr>
              <w:t>Servicios de Contabilidad y Auditoria</w:t>
            </w:r>
          </w:p>
        </w:tc>
        <w:tc>
          <w:tcPr>
            <w:tcW w:w="2268" w:type="dxa"/>
            <w:tcBorders>
              <w:top w:val="single" w:sz="4" w:space="0" w:color="auto"/>
              <w:left w:val="single" w:sz="4" w:space="0" w:color="auto"/>
              <w:bottom w:val="single" w:sz="4" w:space="0" w:color="auto"/>
              <w:right w:val="single" w:sz="4" w:space="0" w:color="auto"/>
            </w:tcBorders>
          </w:tcPr>
          <w:p w14:paraId="40CC0849" w14:textId="529EB2D1" w:rsidR="008F7D7F" w:rsidRPr="00C80F8E" w:rsidRDefault="001C71B1" w:rsidP="008F7D7F">
            <w:pPr>
              <w:jc w:val="right"/>
              <w:rPr>
                <w:rFonts w:ascii="Abadi" w:hAnsi="Abadi" w:cstheme="minorHAnsi"/>
                <w:sz w:val="20"/>
                <w:szCs w:val="20"/>
                <w:lang w:val="es-ES_tradnl"/>
              </w:rPr>
            </w:pPr>
            <w:r w:rsidRPr="00C80F8E">
              <w:rPr>
                <w:rFonts w:ascii="Abadi" w:hAnsi="Abadi" w:cstheme="minorHAnsi"/>
                <w:sz w:val="20"/>
                <w:szCs w:val="20"/>
                <w:lang w:val="es-ES_tradnl"/>
              </w:rPr>
              <w:t>185,000.00</w:t>
            </w:r>
          </w:p>
        </w:tc>
        <w:tc>
          <w:tcPr>
            <w:tcW w:w="2125" w:type="dxa"/>
            <w:tcBorders>
              <w:top w:val="single" w:sz="4" w:space="0" w:color="auto"/>
              <w:left w:val="single" w:sz="4" w:space="0" w:color="auto"/>
              <w:bottom w:val="single" w:sz="4" w:space="0" w:color="auto"/>
              <w:right w:val="single" w:sz="4" w:space="0" w:color="auto"/>
            </w:tcBorders>
          </w:tcPr>
          <w:p w14:paraId="6E66A4DE" w14:textId="57503469" w:rsidR="008F7D7F" w:rsidRPr="00C80F8E" w:rsidRDefault="003C6A1A" w:rsidP="008F7D7F">
            <w:pPr>
              <w:jc w:val="right"/>
              <w:rPr>
                <w:rFonts w:ascii="Abadi" w:hAnsi="Abadi" w:cstheme="minorHAnsi"/>
                <w:color w:val="000000"/>
                <w:sz w:val="20"/>
                <w:szCs w:val="20"/>
                <w:lang w:val="es-ES_tradnl"/>
              </w:rPr>
            </w:pPr>
            <w:r w:rsidRPr="00C80F8E">
              <w:rPr>
                <w:rFonts w:ascii="Abadi" w:hAnsi="Abadi" w:cstheme="minorHAnsi"/>
                <w:color w:val="000000"/>
                <w:sz w:val="20"/>
                <w:szCs w:val="20"/>
                <w:lang w:val="es-ES_tradnl"/>
              </w:rPr>
              <w:t>0.00</w:t>
            </w:r>
          </w:p>
        </w:tc>
      </w:tr>
      <w:tr w:rsidR="008F7D7F" w:rsidRPr="00C80F8E" w14:paraId="60595E55" w14:textId="77777777" w:rsidTr="008A27C6">
        <w:tc>
          <w:tcPr>
            <w:tcW w:w="4891" w:type="dxa"/>
            <w:tcBorders>
              <w:top w:val="single" w:sz="4" w:space="0" w:color="auto"/>
              <w:left w:val="single" w:sz="4" w:space="0" w:color="auto"/>
              <w:bottom w:val="single" w:sz="4" w:space="0" w:color="auto"/>
              <w:right w:val="single" w:sz="4" w:space="0" w:color="auto"/>
            </w:tcBorders>
          </w:tcPr>
          <w:p w14:paraId="26887C4A" w14:textId="7BA668C6" w:rsidR="008F7D7F" w:rsidRPr="00C80F8E" w:rsidRDefault="008F7D7F" w:rsidP="008F7D7F">
            <w:pPr>
              <w:rPr>
                <w:rFonts w:ascii="Abadi" w:hAnsi="Abadi" w:cstheme="minorHAnsi"/>
                <w:b/>
                <w:bCs/>
                <w:sz w:val="20"/>
                <w:szCs w:val="20"/>
                <w:lang w:val="es-ES_tradnl"/>
              </w:rPr>
            </w:pPr>
            <w:r w:rsidRPr="00C80F8E">
              <w:rPr>
                <w:rFonts w:ascii="Abadi" w:hAnsi="Abadi" w:cstheme="minorHAnsi"/>
                <w:color w:val="000000"/>
                <w:sz w:val="20"/>
                <w:szCs w:val="20"/>
                <w:lang w:val="es-ES_tradnl"/>
              </w:rPr>
              <w:t>Servicios Jurídicos</w:t>
            </w:r>
          </w:p>
        </w:tc>
        <w:tc>
          <w:tcPr>
            <w:tcW w:w="2268" w:type="dxa"/>
            <w:tcBorders>
              <w:top w:val="single" w:sz="4" w:space="0" w:color="auto"/>
              <w:left w:val="single" w:sz="4" w:space="0" w:color="auto"/>
              <w:bottom w:val="single" w:sz="4" w:space="0" w:color="auto"/>
              <w:right w:val="single" w:sz="4" w:space="0" w:color="auto"/>
            </w:tcBorders>
          </w:tcPr>
          <w:p w14:paraId="5D14E498" w14:textId="2F205933" w:rsidR="008F7D7F" w:rsidRPr="00C80F8E" w:rsidRDefault="00B864A5" w:rsidP="008F7D7F">
            <w:pPr>
              <w:jc w:val="right"/>
              <w:rPr>
                <w:rFonts w:ascii="Abadi" w:hAnsi="Abadi" w:cstheme="minorHAnsi"/>
                <w:sz w:val="20"/>
                <w:szCs w:val="20"/>
                <w:lang w:val="es-ES_tradnl"/>
              </w:rPr>
            </w:pPr>
            <w:r w:rsidRPr="00C80F8E">
              <w:rPr>
                <w:rFonts w:ascii="Abadi" w:hAnsi="Abadi" w:cstheme="minorHAnsi"/>
                <w:sz w:val="20"/>
                <w:szCs w:val="20"/>
                <w:lang w:val="es-ES_tradnl"/>
              </w:rPr>
              <w:t>8,276,960.00</w:t>
            </w:r>
          </w:p>
        </w:tc>
        <w:tc>
          <w:tcPr>
            <w:tcW w:w="2125" w:type="dxa"/>
            <w:tcBorders>
              <w:top w:val="single" w:sz="4" w:space="0" w:color="auto"/>
              <w:left w:val="single" w:sz="4" w:space="0" w:color="auto"/>
              <w:bottom w:val="single" w:sz="4" w:space="0" w:color="auto"/>
              <w:right w:val="single" w:sz="4" w:space="0" w:color="auto"/>
            </w:tcBorders>
          </w:tcPr>
          <w:p w14:paraId="05928087" w14:textId="6E4735AB"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2,778,500.00</w:t>
            </w:r>
          </w:p>
        </w:tc>
      </w:tr>
      <w:tr w:rsidR="008F7D7F" w:rsidRPr="00C80F8E" w14:paraId="020678E4" w14:textId="77777777" w:rsidTr="008A27C6">
        <w:tc>
          <w:tcPr>
            <w:tcW w:w="4891" w:type="dxa"/>
            <w:tcBorders>
              <w:top w:val="single" w:sz="4" w:space="0" w:color="auto"/>
              <w:left w:val="single" w:sz="4" w:space="0" w:color="auto"/>
              <w:bottom w:val="single" w:sz="4" w:space="0" w:color="auto"/>
              <w:right w:val="single" w:sz="4" w:space="0" w:color="auto"/>
            </w:tcBorders>
          </w:tcPr>
          <w:p w14:paraId="2D60C593" w14:textId="02393719" w:rsidR="008F7D7F" w:rsidRPr="00C80F8E" w:rsidRDefault="008F7D7F" w:rsidP="008F7D7F">
            <w:pPr>
              <w:rPr>
                <w:rFonts w:ascii="Abadi" w:hAnsi="Abadi" w:cstheme="minorHAnsi"/>
                <w:b/>
                <w:bCs/>
                <w:sz w:val="20"/>
                <w:szCs w:val="20"/>
                <w:lang w:val="es-ES_tradnl"/>
              </w:rPr>
            </w:pPr>
            <w:r w:rsidRPr="00C80F8E">
              <w:rPr>
                <w:rFonts w:ascii="Abadi" w:hAnsi="Abadi" w:cstheme="minorHAnsi"/>
                <w:color w:val="000000"/>
                <w:sz w:val="20"/>
                <w:szCs w:val="20"/>
                <w:lang w:val="es-ES_tradnl"/>
              </w:rPr>
              <w:t>Servicios de Capacitación</w:t>
            </w:r>
          </w:p>
        </w:tc>
        <w:tc>
          <w:tcPr>
            <w:tcW w:w="2268" w:type="dxa"/>
            <w:tcBorders>
              <w:top w:val="single" w:sz="4" w:space="0" w:color="auto"/>
              <w:left w:val="single" w:sz="4" w:space="0" w:color="auto"/>
              <w:bottom w:val="single" w:sz="4" w:space="0" w:color="auto"/>
              <w:right w:val="single" w:sz="4" w:space="0" w:color="auto"/>
            </w:tcBorders>
          </w:tcPr>
          <w:p w14:paraId="748860EE" w14:textId="4B5CDDE5" w:rsidR="008F7D7F" w:rsidRPr="00C80F8E" w:rsidRDefault="00B864A5" w:rsidP="008F7D7F">
            <w:pPr>
              <w:jc w:val="right"/>
              <w:rPr>
                <w:rFonts w:ascii="Abadi" w:hAnsi="Abadi" w:cstheme="minorHAnsi"/>
                <w:sz w:val="20"/>
                <w:szCs w:val="20"/>
                <w:lang w:val="es-ES_tradnl"/>
              </w:rPr>
            </w:pPr>
            <w:r w:rsidRPr="00C80F8E">
              <w:rPr>
                <w:rFonts w:ascii="Abadi" w:hAnsi="Abadi" w:cstheme="minorHAnsi"/>
                <w:sz w:val="20"/>
                <w:szCs w:val="20"/>
                <w:lang w:val="es-ES_tradnl"/>
              </w:rPr>
              <w:t>1,221,690.50</w:t>
            </w:r>
          </w:p>
        </w:tc>
        <w:tc>
          <w:tcPr>
            <w:tcW w:w="2125" w:type="dxa"/>
            <w:tcBorders>
              <w:top w:val="single" w:sz="4" w:space="0" w:color="auto"/>
              <w:left w:val="single" w:sz="4" w:space="0" w:color="auto"/>
              <w:bottom w:val="single" w:sz="4" w:space="0" w:color="auto"/>
              <w:right w:val="single" w:sz="4" w:space="0" w:color="auto"/>
            </w:tcBorders>
          </w:tcPr>
          <w:p w14:paraId="2EFB8412" w14:textId="7A790175"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692,516.84</w:t>
            </w:r>
          </w:p>
        </w:tc>
      </w:tr>
      <w:tr w:rsidR="008F7D7F" w:rsidRPr="00C80F8E" w14:paraId="1E58E711" w14:textId="77777777" w:rsidTr="008A27C6">
        <w:tc>
          <w:tcPr>
            <w:tcW w:w="4891" w:type="dxa"/>
            <w:tcBorders>
              <w:top w:val="single" w:sz="4" w:space="0" w:color="auto"/>
              <w:left w:val="single" w:sz="4" w:space="0" w:color="auto"/>
              <w:bottom w:val="single" w:sz="4" w:space="0" w:color="auto"/>
              <w:right w:val="single" w:sz="4" w:space="0" w:color="auto"/>
            </w:tcBorders>
          </w:tcPr>
          <w:p w14:paraId="3EB0E014" w14:textId="57BDCBC5"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 xml:space="preserve">Servicios de Informática y </w:t>
            </w:r>
            <w:proofErr w:type="spellStart"/>
            <w:r w:rsidRPr="00C80F8E">
              <w:rPr>
                <w:rFonts w:ascii="Abadi" w:hAnsi="Abadi" w:cstheme="minorHAnsi"/>
                <w:color w:val="000000"/>
                <w:sz w:val="20"/>
                <w:szCs w:val="20"/>
                <w:lang w:val="es-ES_tradnl"/>
              </w:rPr>
              <w:t>Sist</w:t>
            </w:r>
            <w:proofErr w:type="spellEnd"/>
            <w:r w:rsidRPr="00C80F8E">
              <w:rPr>
                <w:rFonts w:ascii="Abadi" w:hAnsi="Abadi" w:cstheme="minorHAnsi"/>
                <w:color w:val="000000"/>
                <w:sz w:val="20"/>
                <w:szCs w:val="20"/>
                <w:lang w:val="es-ES_tradnl"/>
              </w:rPr>
              <w:t>. Computarizado</w:t>
            </w:r>
          </w:p>
        </w:tc>
        <w:tc>
          <w:tcPr>
            <w:tcW w:w="2268" w:type="dxa"/>
            <w:tcBorders>
              <w:top w:val="single" w:sz="4" w:space="0" w:color="auto"/>
              <w:left w:val="single" w:sz="4" w:space="0" w:color="auto"/>
              <w:bottom w:val="single" w:sz="4" w:space="0" w:color="auto"/>
              <w:right w:val="single" w:sz="4" w:space="0" w:color="auto"/>
            </w:tcBorders>
          </w:tcPr>
          <w:p w14:paraId="22912AB8" w14:textId="41E44DD2" w:rsidR="008F7D7F" w:rsidRPr="00C80F8E" w:rsidRDefault="00075888" w:rsidP="008F7D7F">
            <w:pPr>
              <w:jc w:val="right"/>
              <w:rPr>
                <w:rFonts w:ascii="Abadi" w:hAnsi="Abadi" w:cstheme="minorHAnsi"/>
                <w:sz w:val="20"/>
                <w:szCs w:val="20"/>
                <w:lang w:val="es-ES_tradnl"/>
              </w:rPr>
            </w:pPr>
            <w:r w:rsidRPr="00C80F8E">
              <w:rPr>
                <w:rFonts w:ascii="Abadi" w:hAnsi="Abadi" w:cstheme="minorHAnsi"/>
                <w:sz w:val="20"/>
                <w:szCs w:val="20"/>
                <w:lang w:val="es-ES_tradnl"/>
              </w:rPr>
              <w:t>4,048,921.71</w:t>
            </w:r>
          </w:p>
        </w:tc>
        <w:tc>
          <w:tcPr>
            <w:tcW w:w="2125" w:type="dxa"/>
            <w:tcBorders>
              <w:top w:val="single" w:sz="4" w:space="0" w:color="auto"/>
              <w:left w:val="single" w:sz="4" w:space="0" w:color="auto"/>
              <w:bottom w:val="single" w:sz="4" w:space="0" w:color="auto"/>
              <w:right w:val="single" w:sz="4" w:space="0" w:color="auto"/>
            </w:tcBorders>
          </w:tcPr>
          <w:p w14:paraId="3620AB50" w14:textId="6C8A8526"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3,948,263.77</w:t>
            </w:r>
          </w:p>
        </w:tc>
      </w:tr>
      <w:tr w:rsidR="008F7D7F" w:rsidRPr="00C80F8E" w14:paraId="69DE6E39" w14:textId="77777777" w:rsidTr="008A27C6">
        <w:tc>
          <w:tcPr>
            <w:tcW w:w="4891" w:type="dxa"/>
            <w:tcBorders>
              <w:top w:val="single" w:sz="4" w:space="0" w:color="auto"/>
              <w:left w:val="single" w:sz="4" w:space="0" w:color="auto"/>
              <w:bottom w:val="single" w:sz="4" w:space="0" w:color="auto"/>
              <w:right w:val="single" w:sz="4" w:space="0" w:color="auto"/>
            </w:tcBorders>
          </w:tcPr>
          <w:p w14:paraId="53A54A32" w14:textId="3CDA1DCE"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Otros Servicios Técnicos Profesionales</w:t>
            </w:r>
          </w:p>
        </w:tc>
        <w:tc>
          <w:tcPr>
            <w:tcW w:w="2268" w:type="dxa"/>
            <w:tcBorders>
              <w:top w:val="single" w:sz="4" w:space="0" w:color="auto"/>
              <w:left w:val="single" w:sz="4" w:space="0" w:color="auto"/>
              <w:bottom w:val="single" w:sz="4" w:space="0" w:color="auto"/>
              <w:right w:val="single" w:sz="4" w:space="0" w:color="auto"/>
            </w:tcBorders>
          </w:tcPr>
          <w:p w14:paraId="071C43E6" w14:textId="6BB0EFBC" w:rsidR="008F7D7F" w:rsidRPr="00C80F8E" w:rsidRDefault="0060502D" w:rsidP="008F7D7F">
            <w:pPr>
              <w:jc w:val="right"/>
              <w:rPr>
                <w:rFonts w:ascii="Abadi" w:hAnsi="Abadi" w:cstheme="minorHAnsi"/>
                <w:sz w:val="20"/>
                <w:szCs w:val="20"/>
                <w:lang w:val="es-ES_tradnl"/>
              </w:rPr>
            </w:pPr>
            <w:r w:rsidRPr="00C80F8E">
              <w:rPr>
                <w:rFonts w:ascii="Abadi" w:hAnsi="Abadi" w:cstheme="minorHAnsi"/>
                <w:sz w:val="20"/>
                <w:szCs w:val="20"/>
                <w:lang w:val="es-ES_tradnl"/>
              </w:rPr>
              <w:t>5,085,590.00</w:t>
            </w:r>
          </w:p>
        </w:tc>
        <w:tc>
          <w:tcPr>
            <w:tcW w:w="2125" w:type="dxa"/>
            <w:tcBorders>
              <w:top w:val="single" w:sz="4" w:space="0" w:color="auto"/>
              <w:left w:val="single" w:sz="4" w:space="0" w:color="auto"/>
              <w:bottom w:val="single" w:sz="4" w:space="0" w:color="auto"/>
              <w:right w:val="single" w:sz="4" w:space="0" w:color="auto"/>
            </w:tcBorders>
          </w:tcPr>
          <w:p w14:paraId="626578F6" w14:textId="7A1CF513" w:rsidR="008F7D7F" w:rsidRPr="00C80F8E" w:rsidRDefault="008F7D7F" w:rsidP="008F7D7F">
            <w:pPr>
              <w:jc w:val="right"/>
              <w:rPr>
                <w:rFonts w:ascii="Abadi" w:hAnsi="Abadi" w:cstheme="minorHAnsi"/>
                <w:color w:val="000000"/>
                <w:sz w:val="20"/>
                <w:szCs w:val="20"/>
                <w:lang w:val="es-ES_tradnl"/>
              </w:rPr>
            </w:pPr>
            <w:r w:rsidRPr="00C80F8E">
              <w:rPr>
                <w:rFonts w:ascii="Abadi" w:hAnsi="Abadi" w:cstheme="minorHAnsi"/>
                <w:color w:val="000000"/>
                <w:sz w:val="20"/>
                <w:szCs w:val="20"/>
                <w:lang w:val="es-ES_tradnl"/>
              </w:rPr>
              <w:t>6,865,356.39</w:t>
            </w:r>
          </w:p>
        </w:tc>
      </w:tr>
      <w:tr w:rsidR="008F7D7F" w:rsidRPr="00C80F8E" w14:paraId="31ED96BC" w14:textId="77777777" w:rsidTr="008A27C6">
        <w:tc>
          <w:tcPr>
            <w:tcW w:w="4891" w:type="dxa"/>
            <w:tcBorders>
              <w:top w:val="single" w:sz="4" w:space="0" w:color="auto"/>
              <w:left w:val="single" w:sz="4" w:space="0" w:color="auto"/>
              <w:bottom w:val="single" w:sz="4" w:space="0" w:color="auto"/>
              <w:right w:val="single" w:sz="4" w:space="0" w:color="auto"/>
            </w:tcBorders>
          </w:tcPr>
          <w:p w14:paraId="15378063" w14:textId="614F6623"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Impuestos</w:t>
            </w:r>
          </w:p>
        </w:tc>
        <w:tc>
          <w:tcPr>
            <w:tcW w:w="2268" w:type="dxa"/>
            <w:tcBorders>
              <w:top w:val="single" w:sz="4" w:space="0" w:color="auto"/>
              <w:left w:val="single" w:sz="4" w:space="0" w:color="auto"/>
              <w:bottom w:val="single" w:sz="4" w:space="0" w:color="auto"/>
              <w:right w:val="single" w:sz="4" w:space="0" w:color="auto"/>
            </w:tcBorders>
          </w:tcPr>
          <w:p w14:paraId="0D451D3A" w14:textId="4C32B2BA" w:rsidR="008F7D7F" w:rsidRPr="00C80F8E" w:rsidRDefault="00D942E3" w:rsidP="008F7D7F">
            <w:pPr>
              <w:jc w:val="right"/>
              <w:rPr>
                <w:rFonts w:ascii="Abadi" w:hAnsi="Abadi" w:cstheme="minorHAnsi"/>
                <w:sz w:val="20"/>
                <w:szCs w:val="20"/>
                <w:lang w:val="es-ES_tradnl"/>
              </w:rPr>
            </w:pPr>
            <w:r w:rsidRPr="00C80F8E">
              <w:rPr>
                <w:rFonts w:ascii="Abadi" w:hAnsi="Abadi" w:cstheme="minorHAnsi"/>
                <w:sz w:val="20"/>
                <w:szCs w:val="20"/>
                <w:lang w:val="es-ES_tradnl"/>
              </w:rPr>
              <w:t>3,386.66</w:t>
            </w:r>
          </w:p>
        </w:tc>
        <w:tc>
          <w:tcPr>
            <w:tcW w:w="2125" w:type="dxa"/>
            <w:tcBorders>
              <w:top w:val="single" w:sz="4" w:space="0" w:color="auto"/>
              <w:left w:val="single" w:sz="4" w:space="0" w:color="auto"/>
              <w:bottom w:val="single" w:sz="4" w:space="0" w:color="auto"/>
              <w:right w:val="single" w:sz="4" w:space="0" w:color="auto"/>
            </w:tcBorders>
          </w:tcPr>
          <w:p w14:paraId="2F7EE395" w14:textId="4FDE809F"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7,578.02</w:t>
            </w:r>
          </w:p>
        </w:tc>
      </w:tr>
      <w:tr w:rsidR="008F7D7F" w:rsidRPr="00C80F8E" w14:paraId="7058040F" w14:textId="77777777" w:rsidTr="008A27C6">
        <w:tc>
          <w:tcPr>
            <w:tcW w:w="4891" w:type="dxa"/>
            <w:tcBorders>
              <w:top w:val="single" w:sz="4" w:space="0" w:color="auto"/>
              <w:left w:val="single" w:sz="4" w:space="0" w:color="auto"/>
              <w:bottom w:val="single" w:sz="4" w:space="0" w:color="auto"/>
              <w:right w:val="single" w:sz="4" w:space="0" w:color="auto"/>
            </w:tcBorders>
          </w:tcPr>
          <w:p w14:paraId="02BC6857" w14:textId="412EB8A5"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Comisiones y Cargos Bancarios</w:t>
            </w:r>
          </w:p>
        </w:tc>
        <w:tc>
          <w:tcPr>
            <w:tcW w:w="2268" w:type="dxa"/>
            <w:tcBorders>
              <w:top w:val="single" w:sz="4" w:space="0" w:color="auto"/>
              <w:left w:val="single" w:sz="4" w:space="0" w:color="auto"/>
              <w:bottom w:val="single" w:sz="4" w:space="0" w:color="auto"/>
              <w:right w:val="single" w:sz="4" w:space="0" w:color="auto"/>
            </w:tcBorders>
          </w:tcPr>
          <w:p w14:paraId="10FB945F" w14:textId="31C146C6" w:rsidR="008F7D7F" w:rsidRPr="00C80F8E" w:rsidRDefault="00D942E3" w:rsidP="008F7D7F">
            <w:pPr>
              <w:jc w:val="right"/>
              <w:rPr>
                <w:rFonts w:ascii="Abadi" w:hAnsi="Abadi" w:cstheme="minorHAnsi"/>
                <w:sz w:val="20"/>
                <w:szCs w:val="20"/>
                <w:lang w:val="es-ES_tradnl"/>
              </w:rPr>
            </w:pPr>
            <w:r w:rsidRPr="00C80F8E">
              <w:rPr>
                <w:rFonts w:ascii="Abadi" w:hAnsi="Abadi" w:cstheme="minorHAnsi"/>
                <w:sz w:val="20"/>
                <w:szCs w:val="20"/>
                <w:lang w:val="es-ES_tradnl"/>
              </w:rPr>
              <w:t>273,759.36</w:t>
            </w:r>
          </w:p>
        </w:tc>
        <w:tc>
          <w:tcPr>
            <w:tcW w:w="2125" w:type="dxa"/>
            <w:tcBorders>
              <w:top w:val="single" w:sz="4" w:space="0" w:color="auto"/>
              <w:left w:val="single" w:sz="4" w:space="0" w:color="auto"/>
              <w:bottom w:val="single" w:sz="4" w:space="0" w:color="auto"/>
              <w:right w:val="single" w:sz="4" w:space="0" w:color="auto"/>
            </w:tcBorders>
          </w:tcPr>
          <w:p w14:paraId="1E77ADEC" w14:textId="42C5D9D7" w:rsidR="008F7D7F" w:rsidRPr="00C80F8E" w:rsidRDefault="003C6A1A" w:rsidP="008F7D7F">
            <w:pPr>
              <w:jc w:val="right"/>
              <w:rPr>
                <w:rFonts w:ascii="Abadi" w:hAnsi="Abadi" w:cstheme="minorHAnsi"/>
                <w:sz w:val="20"/>
                <w:szCs w:val="20"/>
                <w:lang w:val="es-ES_tradnl"/>
              </w:rPr>
            </w:pPr>
            <w:r w:rsidRPr="00C80F8E">
              <w:rPr>
                <w:rFonts w:ascii="Abadi" w:hAnsi="Abadi" w:cstheme="minorHAnsi"/>
                <w:sz w:val="20"/>
                <w:szCs w:val="20"/>
                <w:lang w:val="es-ES_tradnl"/>
              </w:rPr>
              <w:t>0.00</w:t>
            </w:r>
          </w:p>
        </w:tc>
      </w:tr>
      <w:tr w:rsidR="008F7D7F" w:rsidRPr="00C80F8E" w14:paraId="0621C6DA" w14:textId="77777777" w:rsidTr="008A27C6">
        <w:tc>
          <w:tcPr>
            <w:tcW w:w="4891" w:type="dxa"/>
            <w:tcBorders>
              <w:top w:val="single" w:sz="4" w:space="0" w:color="auto"/>
              <w:left w:val="single" w:sz="4" w:space="0" w:color="auto"/>
              <w:bottom w:val="single" w:sz="4" w:space="0" w:color="auto"/>
              <w:right w:val="single" w:sz="4" w:space="0" w:color="auto"/>
            </w:tcBorders>
          </w:tcPr>
          <w:p w14:paraId="7BA09EAB" w14:textId="7E4C5348"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Lavandería</w:t>
            </w:r>
          </w:p>
        </w:tc>
        <w:tc>
          <w:tcPr>
            <w:tcW w:w="2268" w:type="dxa"/>
            <w:tcBorders>
              <w:top w:val="single" w:sz="4" w:space="0" w:color="auto"/>
              <w:left w:val="single" w:sz="4" w:space="0" w:color="auto"/>
              <w:bottom w:val="single" w:sz="4" w:space="0" w:color="auto"/>
              <w:right w:val="nil"/>
            </w:tcBorders>
          </w:tcPr>
          <w:p w14:paraId="5BF403A0" w14:textId="60F2A987" w:rsidR="008F7D7F" w:rsidRPr="00C80F8E" w:rsidRDefault="00782F05" w:rsidP="008F7D7F">
            <w:pPr>
              <w:jc w:val="right"/>
              <w:rPr>
                <w:rFonts w:ascii="Abadi" w:hAnsi="Abadi" w:cstheme="minorHAnsi"/>
                <w:sz w:val="20"/>
                <w:szCs w:val="20"/>
                <w:lang w:val="es-ES_tradnl"/>
              </w:rPr>
            </w:pPr>
            <w:r w:rsidRPr="00C80F8E">
              <w:rPr>
                <w:rFonts w:ascii="Abadi" w:hAnsi="Abadi" w:cstheme="minorHAnsi"/>
                <w:sz w:val="20"/>
                <w:szCs w:val="20"/>
                <w:lang w:val="es-ES_tradnl"/>
              </w:rPr>
              <w:t>19,923.80</w:t>
            </w:r>
          </w:p>
        </w:tc>
        <w:tc>
          <w:tcPr>
            <w:tcW w:w="2125" w:type="dxa"/>
            <w:tcBorders>
              <w:top w:val="single" w:sz="4" w:space="0" w:color="auto"/>
              <w:left w:val="single" w:sz="4" w:space="0" w:color="auto"/>
              <w:bottom w:val="single" w:sz="4" w:space="0" w:color="auto"/>
              <w:right w:val="single" w:sz="4" w:space="0" w:color="auto"/>
            </w:tcBorders>
          </w:tcPr>
          <w:p w14:paraId="3B3BF48E" w14:textId="30F120BA"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32,104.60</w:t>
            </w:r>
          </w:p>
        </w:tc>
      </w:tr>
      <w:tr w:rsidR="008F7D7F" w:rsidRPr="00C80F8E" w14:paraId="526553B2" w14:textId="77777777" w:rsidTr="008A27C6">
        <w:tc>
          <w:tcPr>
            <w:tcW w:w="4891" w:type="dxa"/>
            <w:tcBorders>
              <w:top w:val="single" w:sz="4" w:space="0" w:color="auto"/>
              <w:left w:val="single" w:sz="4" w:space="0" w:color="auto"/>
              <w:bottom w:val="single" w:sz="4" w:space="0" w:color="auto"/>
              <w:right w:val="single" w:sz="4" w:space="0" w:color="auto"/>
            </w:tcBorders>
          </w:tcPr>
          <w:p w14:paraId="58D655D0" w14:textId="6C6D76E4"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 xml:space="preserve">Otras Contrataciones de Servicios </w:t>
            </w:r>
          </w:p>
        </w:tc>
        <w:tc>
          <w:tcPr>
            <w:tcW w:w="2268" w:type="dxa"/>
            <w:tcBorders>
              <w:top w:val="single" w:sz="4" w:space="0" w:color="auto"/>
              <w:left w:val="single" w:sz="4" w:space="0" w:color="auto"/>
              <w:bottom w:val="single" w:sz="4" w:space="0" w:color="auto"/>
              <w:right w:val="nil"/>
            </w:tcBorders>
          </w:tcPr>
          <w:p w14:paraId="31A6E461" w14:textId="7154880E" w:rsidR="008F7D7F" w:rsidRPr="00C80F8E" w:rsidRDefault="004C3E33" w:rsidP="008F7D7F">
            <w:pPr>
              <w:jc w:val="right"/>
              <w:rPr>
                <w:rFonts w:ascii="Abadi" w:hAnsi="Abadi" w:cstheme="minorHAnsi"/>
                <w:sz w:val="20"/>
                <w:szCs w:val="20"/>
                <w:lang w:val="es-ES_tradnl"/>
              </w:rPr>
            </w:pPr>
            <w:r w:rsidRPr="00C80F8E">
              <w:rPr>
                <w:rFonts w:ascii="Abadi" w:hAnsi="Abadi" w:cstheme="minorHAnsi"/>
                <w:sz w:val="20"/>
                <w:szCs w:val="20"/>
                <w:lang w:val="es-ES_tradnl"/>
              </w:rPr>
              <w:t>456,617.00</w:t>
            </w:r>
          </w:p>
        </w:tc>
        <w:tc>
          <w:tcPr>
            <w:tcW w:w="2125" w:type="dxa"/>
            <w:tcBorders>
              <w:top w:val="single" w:sz="4" w:space="0" w:color="auto"/>
              <w:left w:val="single" w:sz="4" w:space="0" w:color="auto"/>
              <w:bottom w:val="single" w:sz="4" w:space="0" w:color="auto"/>
              <w:right w:val="single" w:sz="4" w:space="0" w:color="auto"/>
            </w:tcBorders>
          </w:tcPr>
          <w:p w14:paraId="6A943294" w14:textId="6C0315EE"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815,769.29</w:t>
            </w:r>
          </w:p>
        </w:tc>
      </w:tr>
      <w:tr w:rsidR="008F7D7F" w:rsidRPr="00C80F8E" w14:paraId="6CA5F422" w14:textId="77777777" w:rsidTr="00DB69D9">
        <w:tc>
          <w:tcPr>
            <w:tcW w:w="4891" w:type="dxa"/>
            <w:tcBorders>
              <w:top w:val="single" w:sz="4" w:space="0" w:color="auto"/>
              <w:left w:val="single" w:sz="4" w:space="0" w:color="auto"/>
              <w:bottom w:val="single" w:sz="4" w:space="0" w:color="auto"/>
              <w:right w:val="single" w:sz="4" w:space="0" w:color="auto"/>
            </w:tcBorders>
          </w:tcPr>
          <w:p w14:paraId="1448BE24" w14:textId="58251AF7"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 xml:space="preserve">Derecho de uso - Licencias Informáticas </w:t>
            </w:r>
          </w:p>
        </w:tc>
        <w:tc>
          <w:tcPr>
            <w:tcW w:w="2268" w:type="dxa"/>
            <w:tcBorders>
              <w:top w:val="single" w:sz="4" w:space="0" w:color="auto"/>
              <w:left w:val="single" w:sz="4" w:space="0" w:color="auto"/>
              <w:bottom w:val="single" w:sz="4" w:space="0" w:color="auto"/>
              <w:right w:val="nil"/>
            </w:tcBorders>
          </w:tcPr>
          <w:p w14:paraId="45B322D3" w14:textId="26C5ADDF" w:rsidR="008F7D7F" w:rsidRPr="00C80F8E" w:rsidRDefault="00A27850" w:rsidP="008F7D7F">
            <w:pPr>
              <w:jc w:val="right"/>
              <w:rPr>
                <w:rFonts w:ascii="Abadi" w:hAnsi="Abadi" w:cstheme="minorHAnsi"/>
                <w:sz w:val="20"/>
                <w:szCs w:val="20"/>
                <w:lang w:val="es-ES_tradnl"/>
              </w:rPr>
            </w:pPr>
            <w:r w:rsidRPr="00C80F8E">
              <w:rPr>
                <w:rFonts w:ascii="Abadi" w:hAnsi="Abadi" w:cstheme="minorHAnsi"/>
                <w:sz w:val="20"/>
                <w:szCs w:val="20"/>
                <w:lang w:val="es-ES_tradnl"/>
              </w:rPr>
              <w:t>4,965,048.97</w:t>
            </w:r>
          </w:p>
        </w:tc>
        <w:tc>
          <w:tcPr>
            <w:tcW w:w="2125" w:type="dxa"/>
            <w:tcBorders>
              <w:top w:val="single" w:sz="4" w:space="0" w:color="auto"/>
              <w:left w:val="single" w:sz="4" w:space="0" w:color="auto"/>
              <w:bottom w:val="single" w:sz="4" w:space="0" w:color="auto"/>
              <w:right w:val="single" w:sz="4" w:space="0" w:color="auto"/>
            </w:tcBorders>
          </w:tcPr>
          <w:p w14:paraId="044BD7E4" w14:textId="5E110636"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1,312,759.70</w:t>
            </w:r>
          </w:p>
        </w:tc>
      </w:tr>
      <w:tr w:rsidR="008F7D7F" w:rsidRPr="00C80F8E" w14:paraId="60CF96CE" w14:textId="77777777" w:rsidTr="00F53175">
        <w:tc>
          <w:tcPr>
            <w:tcW w:w="4891" w:type="dxa"/>
            <w:tcBorders>
              <w:top w:val="single" w:sz="4" w:space="0" w:color="auto"/>
              <w:left w:val="single" w:sz="4" w:space="0" w:color="auto"/>
              <w:bottom w:val="single" w:sz="4" w:space="0" w:color="auto"/>
              <w:right w:val="single" w:sz="4" w:space="0" w:color="auto"/>
            </w:tcBorders>
          </w:tcPr>
          <w:p w14:paraId="35939FEF" w14:textId="43178DAA" w:rsidR="008F7D7F" w:rsidRPr="00C80F8E" w:rsidRDefault="008F7D7F" w:rsidP="008F7D7F">
            <w:pPr>
              <w:rPr>
                <w:rFonts w:ascii="Abadi" w:hAnsi="Abadi" w:cstheme="minorHAnsi"/>
                <w:sz w:val="20"/>
                <w:szCs w:val="20"/>
                <w:lang w:val="es-ES_tradnl"/>
              </w:rPr>
            </w:pPr>
            <w:r w:rsidRPr="00C80F8E">
              <w:rPr>
                <w:rFonts w:ascii="Abadi" w:hAnsi="Abadi" w:cstheme="minorHAnsi"/>
                <w:color w:val="000000"/>
                <w:sz w:val="20"/>
                <w:szCs w:val="20"/>
                <w:lang w:val="es-ES_tradnl"/>
              </w:rPr>
              <w:t>Servicios de Alimentación</w:t>
            </w:r>
          </w:p>
        </w:tc>
        <w:tc>
          <w:tcPr>
            <w:tcW w:w="2268" w:type="dxa"/>
            <w:tcBorders>
              <w:top w:val="single" w:sz="4" w:space="0" w:color="auto"/>
              <w:left w:val="single" w:sz="4" w:space="0" w:color="auto"/>
              <w:bottom w:val="single" w:sz="12" w:space="0" w:color="auto"/>
              <w:right w:val="nil"/>
            </w:tcBorders>
          </w:tcPr>
          <w:p w14:paraId="7B6B56BB" w14:textId="3E32E1D4" w:rsidR="008F7D7F" w:rsidRPr="00C80F8E" w:rsidRDefault="00305B77" w:rsidP="008F7D7F">
            <w:pPr>
              <w:jc w:val="right"/>
              <w:rPr>
                <w:rFonts w:ascii="Abadi" w:hAnsi="Abadi" w:cstheme="minorHAnsi"/>
                <w:sz w:val="20"/>
                <w:szCs w:val="20"/>
                <w:lang w:val="es-ES_tradnl"/>
              </w:rPr>
            </w:pPr>
            <w:r w:rsidRPr="00C80F8E">
              <w:rPr>
                <w:rFonts w:ascii="Abadi" w:hAnsi="Abadi" w:cstheme="minorHAnsi"/>
                <w:sz w:val="20"/>
                <w:szCs w:val="20"/>
                <w:lang w:val="es-ES_tradnl"/>
              </w:rPr>
              <w:t>816,003.30</w:t>
            </w:r>
          </w:p>
        </w:tc>
        <w:tc>
          <w:tcPr>
            <w:tcW w:w="2125" w:type="dxa"/>
            <w:tcBorders>
              <w:top w:val="single" w:sz="4" w:space="0" w:color="auto"/>
              <w:left w:val="single" w:sz="4" w:space="0" w:color="auto"/>
              <w:bottom w:val="single" w:sz="12" w:space="0" w:color="auto"/>
              <w:right w:val="single" w:sz="4" w:space="0" w:color="auto"/>
            </w:tcBorders>
          </w:tcPr>
          <w:p w14:paraId="5FEB4C00" w14:textId="582280BA"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160,108.26</w:t>
            </w:r>
          </w:p>
        </w:tc>
      </w:tr>
      <w:tr w:rsidR="008F7D7F" w:rsidRPr="00C80F8E" w14:paraId="54EF2E95" w14:textId="77777777" w:rsidTr="00F53175">
        <w:tc>
          <w:tcPr>
            <w:tcW w:w="4891" w:type="dxa"/>
            <w:tcBorders>
              <w:top w:val="single" w:sz="4" w:space="0" w:color="auto"/>
            </w:tcBorders>
          </w:tcPr>
          <w:p w14:paraId="16D951E0" w14:textId="77777777" w:rsidR="008F7D7F" w:rsidRPr="00C80F8E" w:rsidRDefault="008F7D7F" w:rsidP="008F7D7F">
            <w:pPr>
              <w:jc w:val="right"/>
              <w:rPr>
                <w:rFonts w:ascii="Abadi" w:hAnsi="Abadi" w:cstheme="minorHAnsi"/>
                <w:sz w:val="20"/>
                <w:szCs w:val="20"/>
                <w:lang w:val="es-ES_tradnl"/>
              </w:rPr>
            </w:pPr>
            <w:r w:rsidRPr="00C80F8E">
              <w:rPr>
                <w:rFonts w:ascii="Abadi" w:hAnsi="Abadi" w:cstheme="minorHAnsi"/>
                <w:sz w:val="20"/>
                <w:szCs w:val="20"/>
                <w:lang w:val="es-ES_tradnl"/>
              </w:rPr>
              <w:t xml:space="preserve">Total </w:t>
            </w:r>
          </w:p>
        </w:tc>
        <w:tc>
          <w:tcPr>
            <w:tcW w:w="2268" w:type="dxa"/>
            <w:tcBorders>
              <w:top w:val="single" w:sz="12" w:space="0" w:color="auto"/>
              <w:bottom w:val="double" w:sz="4" w:space="0" w:color="auto"/>
            </w:tcBorders>
          </w:tcPr>
          <w:p w14:paraId="2A26CD93" w14:textId="71A666C0" w:rsidR="008F7D7F" w:rsidRPr="00C80F8E" w:rsidRDefault="00104D79" w:rsidP="008F7D7F">
            <w:pPr>
              <w:jc w:val="right"/>
              <w:rPr>
                <w:rFonts w:ascii="Abadi" w:hAnsi="Abadi" w:cs="Arial"/>
                <w:b/>
                <w:bCs/>
                <w:color w:val="000000"/>
                <w:sz w:val="20"/>
                <w:szCs w:val="20"/>
                <w:lang w:val="es-ES_tradnl"/>
              </w:rPr>
            </w:pPr>
            <w:r w:rsidRPr="00C80F8E">
              <w:rPr>
                <w:rFonts w:ascii="Abadi" w:hAnsi="Abadi" w:cs="Arial"/>
                <w:b/>
                <w:bCs/>
                <w:color w:val="000000"/>
                <w:sz w:val="20"/>
                <w:szCs w:val="20"/>
                <w:lang w:val="es-ES_tradnl"/>
              </w:rPr>
              <w:t>48,161,048.02</w:t>
            </w:r>
          </w:p>
        </w:tc>
        <w:tc>
          <w:tcPr>
            <w:tcW w:w="2125" w:type="dxa"/>
            <w:tcBorders>
              <w:top w:val="single" w:sz="12" w:space="0" w:color="auto"/>
              <w:bottom w:val="double" w:sz="4" w:space="0" w:color="auto"/>
            </w:tcBorders>
          </w:tcPr>
          <w:p w14:paraId="2DA95A05" w14:textId="3DDC9819" w:rsidR="008F7D7F" w:rsidRPr="00C80F8E" w:rsidRDefault="008F7D7F" w:rsidP="008F7D7F">
            <w:pPr>
              <w:jc w:val="right"/>
              <w:rPr>
                <w:rFonts w:ascii="Abadi" w:hAnsi="Abadi" w:cstheme="minorHAnsi"/>
                <w:b/>
                <w:bCs/>
                <w:sz w:val="20"/>
                <w:szCs w:val="20"/>
                <w:lang w:val="es-ES_tradnl"/>
              </w:rPr>
            </w:pPr>
            <w:r w:rsidRPr="00C80F8E">
              <w:rPr>
                <w:rFonts w:ascii="Abadi" w:hAnsi="Abadi" w:cstheme="minorHAnsi"/>
                <w:b/>
                <w:bCs/>
                <w:sz w:val="20"/>
                <w:szCs w:val="20"/>
                <w:lang w:val="es-ES_tradnl"/>
              </w:rPr>
              <w:t>34,844,588.78</w:t>
            </w:r>
          </w:p>
        </w:tc>
      </w:tr>
    </w:tbl>
    <w:p w14:paraId="6B661A6B" w14:textId="77777777" w:rsidR="006E7E1C" w:rsidRPr="00C80F8E" w:rsidRDefault="006E7E1C" w:rsidP="00EC04DD">
      <w:pPr>
        <w:spacing w:line="240" w:lineRule="auto"/>
        <w:rPr>
          <w:rFonts w:ascii="Abadi" w:hAnsi="Abadi" w:cstheme="minorHAnsi"/>
          <w:bCs/>
          <w:sz w:val="20"/>
          <w:szCs w:val="20"/>
          <w:lang w:val="es-ES_tradnl"/>
        </w:rPr>
      </w:pPr>
    </w:p>
    <w:p w14:paraId="15F1B946" w14:textId="77777777" w:rsidR="00E66945" w:rsidRPr="00C80F8E" w:rsidRDefault="00E66945"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Gastos financieros</w:t>
      </w:r>
    </w:p>
    <w:p w14:paraId="755D5F02" w14:textId="05437B14" w:rsidR="00E66945" w:rsidRPr="00C80F8E" w:rsidRDefault="00531BC9" w:rsidP="00E66945">
      <w:pPr>
        <w:rPr>
          <w:rFonts w:ascii="Abadi" w:hAnsi="Abadi" w:cstheme="minorHAnsi"/>
          <w:bCs/>
          <w:sz w:val="20"/>
          <w:szCs w:val="20"/>
          <w:lang w:val="es-ES_tradnl"/>
        </w:rPr>
      </w:pPr>
      <w:r w:rsidRPr="00C80F8E">
        <w:rPr>
          <w:rFonts w:ascii="Abadi" w:hAnsi="Abadi" w:cstheme="minorHAnsi"/>
          <w:bCs/>
          <w:sz w:val="20"/>
          <w:szCs w:val="20"/>
          <w:lang w:val="es-ES_tradnl"/>
        </w:rPr>
        <w:t>Al 30 de junio de 2025, no se registraron gastos financieros, en contraste con el monto de RD$173,321.34 registrado al 30 de junio de 2024. Esta diferencia representa una disminución absoluta de RD$173,321.34 y una variación relativa negativa del 100.00%.</w:t>
      </w:r>
      <w:r w:rsidR="00E66945" w:rsidRPr="00C80F8E">
        <w:rPr>
          <w:rFonts w:ascii="Abadi" w:hAnsi="Abadi" w:cstheme="minorHAnsi"/>
          <w:bCs/>
          <w:sz w:val="20"/>
          <w:szCs w:val="20"/>
          <w:lang w:val="es-ES_tradnl"/>
        </w:rPr>
        <w:t>, es como sigue:</w:t>
      </w:r>
    </w:p>
    <w:tbl>
      <w:tblPr>
        <w:tblStyle w:val="Tablaconcuadrcula"/>
        <w:tblW w:w="0" w:type="auto"/>
        <w:tblInd w:w="66" w:type="dxa"/>
        <w:tblLook w:val="04A0" w:firstRow="1" w:lastRow="0" w:firstColumn="1" w:lastColumn="0" w:noHBand="0" w:noVBand="1"/>
      </w:tblPr>
      <w:tblGrid>
        <w:gridCol w:w="4891"/>
        <w:gridCol w:w="2268"/>
        <w:gridCol w:w="2125"/>
      </w:tblGrid>
      <w:tr w:rsidR="00E66945" w:rsidRPr="00C80F8E" w14:paraId="715446EF" w14:textId="77777777" w:rsidTr="006C2D82">
        <w:tc>
          <w:tcPr>
            <w:tcW w:w="4891" w:type="dxa"/>
            <w:shd w:val="clear" w:color="auto" w:fill="0070C0"/>
          </w:tcPr>
          <w:p w14:paraId="1A12D2DB" w14:textId="77777777" w:rsidR="00E66945" w:rsidRPr="00C80F8E" w:rsidRDefault="00E66945"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5F2FCA3D" w14:textId="3E1ADDD7" w:rsidR="00E66945" w:rsidRPr="00C80F8E" w:rsidRDefault="00EA10FC"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7E313A" w:rsidRPr="00C80F8E">
              <w:rPr>
                <w:rFonts w:ascii="Abadi" w:hAnsi="Abadi" w:cstheme="minorHAnsi"/>
                <w:b/>
                <w:bCs/>
                <w:color w:val="FFFFFF" w:themeColor="background1"/>
                <w:sz w:val="20"/>
                <w:szCs w:val="20"/>
                <w:lang w:val="es-ES_tradnl"/>
              </w:rPr>
              <w:t>5</w:t>
            </w:r>
          </w:p>
        </w:tc>
        <w:tc>
          <w:tcPr>
            <w:tcW w:w="2125" w:type="dxa"/>
            <w:shd w:val="clear" w:color="auto" w:fill="0070C0"/>
          </w:tcPr>
          <w:p w14:paraId="476E6638" w14:textId="27289E26" w:rsidR="00E66945" w:rsidRPr="00C80F8E" w:rsidRDefault="004567A7" w:rsidP="00297694">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w:t>
            </w:r>
            <w:r w:rsidR="007E313A" w:rsidRPr="00C80F8E">
              <w:rPr>
                <w:rFonts w:ascii="Abadi" w:hAnsi="Abadi" w:cstheme="minorHAnsi"/>
                <w:b/>
                <w:bCs/>
                <w:color w:val="FFFFFF" w:themeColor="background1"/>
                <w:sz w:val="20"/>
                <w:szCs w:val="20"/>
                <w:lang w:val="es-ES_tradnl"/>
              </w:rPr>
              <w:t>4</w:t>
            </w:r>
          </w:p>
        </w:tc>
      </w:tr>
      <w:tr w:rsidR="00E66945" w:rsidRPr="00C80F8E" w14:paraId="4632863D" w14:textId="77777777" w:rsidTr="004367A2">
        <w:tc>
          <w:tcPr>
            <w:tcW w:w="4891" w:type="dxa"/>
          </w:tcPr>
          <w:p w14:paraId="493241CC" w14:textId="77777777" w:rsidR="00E66945" w:rsidRPr="00C80F8E" w:rsidRDefault="00C9101D" w:rsidP="00297694">
            <w:pPr>
              <w:jc w:val="both"/>
              <w:rPr>
                <w:rFonts w:ascii="Abadi" w:hAnsi="Abadi" w:cstheme="minorHAnsi"/>
                <w:sz w:val="20"/>
                <w:szCs w:val="20"/>
                <w:lang w:val="es-ES_tradnl"/>
              </w:rPr>
            </w:pPr>
            <w:r w:rsidRPr="00C80F8E">
              <w:rPr>
                <w:rFonts w:ascii="Abadi" w:hAnsi="Abadi" w:cstheme="minorHAnsi"/>
                <w:bCs/>
                <w:sz w:val="20"/>
                <w:szCs w:val="20"/>
                <w:lang w:val="es-ES_tradnl"/>
              </w:rPr>
              <w:t>Gastos financieros</w:t>
            </w:r>
          </w:p>
        </w:tc>
        <w:tc>
          <w:tcPr>
            <w:tcW w:w="2268" w:type="dxa"/>
            <w:tcBorders>
              <w:bottom w:val="single" w:sz="12" w:space="0" w:color="auto"/>
            </w:tcBorders>
          </w:tcPr>
          <w:p w14:paraId="28131C6E" w14:textId="77777777" w:rsidR="00E66945" w:rsidRPr="00C80F8E" w:rsidRDefault="004367A2" w:rsidP="00C9101D">
            <w:pPr>
              <w:jc w:val="right"/>
              <w:rPr>
                <w:rFonts w:ascii="Abadi" w:hAnsi="Abadi" w:cstheme="minorHAnsi"/>
                <w:sz w:val="20"/>
                <w:szCs w:val="20"/>
                <w:lang w:val="es-ES_tradnl"/>
              </w:rPr>
            </w:pPr>
            <w:r w:rsidRPr="00C80F8E">
              <w:rPr>
                <w:rFonts w:ascii="Abadi" w:hAnsi="Abadi" w:cstheme="minorHAnsi"/>
                <w:sz w:val="20"/>
                <w:szCs w:val="20"/>
                <w:lang w:val="es-ES_tradnl"/>
              </w:rPr>
              <w:t>0.00</w:t>
            </w:r>
          </w:p>
        </w:tc>
        <w:tc>
          <w:tcPr>
            <w:tcW w:w="2125" w:type="dxa"/>
            <w:tcBorders>
              <w:bottom w:val="single" w:sz="12" w:space="0" w:color="auto"/>
            </w:tcBorders>
          </w:tcPr>
          <w:p w14:paraId="00368254" w14:textId="18E1F4D9" w:rsidR="00E66945" w:rsidRPr="00C80F8E" w:rsidRDefault="00523992" w:rsidP="00C9101D">
            <w:pPr>
              <w:jc w:val="right"/>
              <w:rPr>
                <w:rFonts w:ascii="Abadi" w:hAnsi="Abadi" w:cstheme="minorHAnsi"/>
                <w:sz w:val="20"/>
                <w:szCs w:val="20"/>
                <w:lang w:val="es-ES_tradnl"/>
              </w:rPr>
            </w:pPr>
            <w:r w:rsidRPr="00C80F8E">
              <w:rPr>
                <w:rFonts w:ascii="Abadi" w:hAnsi="Abadi" w:cstheme="minorHAnsi"/>
                <w:sz w:val="20"/>
                <w:szCs w:val="20"/>
                <w:lang w:val="es-ES_tradnl"/>
              </w:rPr>
              <w:t>173,321.34</w:t>
            </w:r>
          </w:p>
        </w:tc>
      </w:tr>
      <w:tr w:rsidR="00E66945" w:rsidRPr="00C80F8E" w14:paraId="0D15EB25" w14:textId="77777777" w:rsidTr="004367A2">
        <w:tc>
          <w:tcPr>
            <w:tcW w:w="4891" w:type="dxa"/>
          </w:tcPr>
          <w:p w14:paraId="1B54B512" w14:textId="77777777" w:rsidR="00E66945" w:rsidRPr="00C80F8E" w:rsidRDefault="00E66945" w:rsidP="00297694">
            <w:pPr>
              <w:jc w:val="both"/>
              <w:rPr>
                <w:rFonts w:ascii="Abadi" w:hAnsi="Abadi" w:cstheme="minorHAnsi"/>
                <w:sz w:val="20"/>
                <w:szCs w:val="20"/>
                <w:lang w:val="es-ES_tradnl"/>
              </w:rPr>
            </w:pPr>
            <w:r w:rsidRPr="00C80F8E">
              <w:rPr>
                <w:rFonts w:ascii="Abadi" w:hAnsi="Abadi" w:cstheme="minorHAnsi"/>
                <w:sz w:val="20"/>
                <w:szCs w:val="20"/>
                <w:lang w:val="es-ES_tradnl"/>
              </w:rPr>
              <w:t xml:space="preserve">Total </w:t>
            </w:r>
          </w:p>
        </w:tc>
        <w:tc>
          <w:tcPr>
            <w:tcW w:w="2268" w:type="dxa"/>
            <w:tcBorders>
              <w:top w:val="single" w:sz="12" w:space="0" w:color="auto"/>
              <w:bottom w:val="double" w:sz="4" w:space="0" w:color="auto"/>
            </w:tcBorders>
          </w:tcPr>
          <w:p w14:paraId="1BB32C6A" w14:textId="77777777" w:rsidR="00E66945" w:rsidRPr="00C80F8E" w:rsidRDefault="004367A2" w:rsidP="00C9101D">
            <w:pPr>
              <w:jc w:val="right"/>
              <w:rPr>
                <w:rFonts w:ascii="Abadi" w:hAnsi="Abadi" w:cstheme="minorHAnsi"/>
                <w:b/>
                <w:bCs/>
                <w:sz w:val="20"/>
                <w:szCs w:val="20"/>
                <w:lang w:val="es-ES_tradnl"/>
              </w:rPr>
            </w:pPr>
            <w:r w:rsidRPr="00C80F8E">
              <w:rPr>
                <w:rFonts w:ascii="Abadi" w:hAnsi="Abadi" w:cstheme="minorHAnsi"/>
                <w:b/>
                <w:bCs/>
                <w:sz w:val="20"/>
                <w:szCs w:val="20"/>
                <w:lang w:val="es-ES_tradnl"/>
              </w:rPr>
              <w:t>0.00</w:t>
            </w:r>
          </w:p>
        </w:tc>
        <w:tc>
          <w:tcPr>
            <w:tcW w:w="2125" w:type="dxa"/>
            <w:tcBorders>
              <w:top w:val="single" w:sz="12" w:space="0" w:color="auto"/>
              <w:bottom w:val="double" w:sz="4" w:space="0" w:color="auto"/>
            </w:tcBorders>
          </w:tcPr>
          <w:p w14:paraId="43BB8CD0" w14:textId="25D8313B" w:rsidR="00E66945" w:rsidRPr="00C80F8E" w:rsidRDefault="00316E6D" w:rsidP="00C9101D">
            <w:pPr>
              <w:jc w:val="right"/>
              <w:rPr>
                <w:rFonts w:ascii="Abadi" w:hAnsi="Abadi" w:cstheme="minorHAnsi"/>
                <w:b/>
                <w:bCs/>
                <w:sz w:val="20"/>
                <w:szCs w:val="20"/>
                <w:lang w:val="es-ES_tradnl"/>
              </w:rPr>
            </w:pPr>
            <w:r w:rsidRPr="00C80F8E">
              <w:rPr>
                <w:rFonts w:ascii="Abadi" w:hAnsi="Abadi" w:cstheme="minorHAnsi"/>
                <w:b/>
                <w:bCs/>
                <w:sz w:val="20"/>
                <w:szCs w:val="20"/>
                <w:lang w:val="es-ES_tradnl"/>
              </w:rPr>
              <w:t>173,321.34</w:t>
            </w:r>
          </w:p>
        </w:tc>
      </w:tr>
    </w:tbl>
    <w:p w14:paraId="13462C66" w14:textId="77777777" w:rsidR="00217427" w:rsidRPr="00C80F8E" w:rsidRDefault="00217427" w:rsidP="007059D3">
      <w:pPr>
        <w:rPr>
          <w:rFonts w:ascii="Abadi" w:hAnsi="Abadi" w:cstheme="minorHAnsi"/>
          <w:sz w:val="20"/>
          <w:szCs w:val="20"/>
          <w:lang w:val="es-ES_tradnl"/>
        </w:rPr>
      </w:pPr>
    </w:p>
    <w:p w14:paraId="69674DFD" w14:textId="77777777" w:rsidR="001A783C" w:rsidRPr="001A783C" w:rsidRDefault="001A783C" w:rsidP="001A783C">
      <w:pPr>
        <w:spacing w:line="276" w:lineRule="auto"/>
        <w:jc w:val="both"/>
        <w:rPr>
          <w:rFonts w:ascii="Abadi" w:hAnsi="Abadi" w:cstheme="minorHAnsi"/>
          <w:sz w:val="20"/>
          <w:szCs w:val="20"/>
          <w:lang w:val="es-ES_tradnl"/>
        </w:rPr>
      </w:pPr>
      <w:r w:rsidRPr="001A783C">
        <w:rPr>
          <w:rFonts w:ascii="Abadi" w:hAnsi="Abadi" w:cstheme="minorHAnsi"/>
          <w:sz w:val="20"/>
          <w:szCs w:val="20"/>
          <w:lang w:val="es-ES_tradnl"/>
        </w:rPr>
        <w:lastRenderedPageBreak/>
        <w:t>Es importante señalar que los gastos financieros reconocidos en cortes y cierres anteriores al 30 de junio de 2024 no corresponden al pago de intereses por obligaciones financieras ni a instrumentos de deuda. Por el contrario, estos gastos fueron originados por conceptos no personales, tales como cargos bancarios por manejo de cuenta, comisiones por transferencias internacionales, servicios financieros asociados a operaciones de pago y otras tarifas no vinculadas a pasivos financieros.</w:t>
      </w:r>
    </w:p>
    <w:p w14:paraId="3B27E091" w14:textId="77777777" w:rsidR="001A783C" w:rsidRPr="001A783C" w:rsidRDefault="001A783C" w:rsidP="001A783C">
      <w:pPr>
        <w:spacing w:line="276" w:lineRule="auto"/>
        <w:jc w:val="both"/>
        <w:rPr>
          <w:rFonts w:ascii="Abadi" w:hAnsi="Abadi" w:cstheme="minorHAnsi"/>
          <w:sz w:val="20"/>
          <w:szCs w:val="20"/>
          <w:lang w:val="es-ES_tradnl"/>
        </w:rPr>
      </w:pPr>
      <w:r w:rsidRPr="001A783C">
        <w:rPr>
          <w:rFonts w:ascii="Abadi" w:hAnsi="Abadi" w:cstheme="minorHAnsi"/>
          <w:sz w:val="20"/>
          <w:szCs w:val="20"/>
          <w:lang w:val="es-ES_tradnl"/>
        </w:rPr>
        <w:t>Esta clasificación se encuentra en línea con los principios de reconocimiento contable establecidos en las Normas Internacionales de Contabilidad del Sector Público (NICSP), específicamente en lo relativo a la distinción entre gastos financieros derivados de financiamiento y otros cargos operacionales relacionados con servicios bancarios, los cuales, para efectos de control interno, fueron históricamente agrupados bajo esta partida, aunque su naturaleza no implique una relación directa con el endeudamiento.</w:t>
      </w:r>
    </w:p>
    <w:p w14:paraId="24F41921" w14:textId="4AFFD8B6" w:rsidR="003C59F1" w:rsidRPr="00C80F8E" w:rsidRDefault="000F25C0" w:rsidP="00A7606E">
      <w:pPr>
        <w:pStyle w:val="Prrafodelista"/>
        <w:numPr>
          <w:ilvl w:val="0"/>
          <w:numId w:val="1"/>
        </w:numPr>
        <w:ind w:left="284"/>
        <w:rPr>
          <w:rFonts w:ascii="Abadi" w:hAnsi="Abadi" w:cstheme="minorHAnsi"/>
          <w:b/>
          <w:sz w:val="20"/>
          <w:szCs w:val="20"/>
          <w:lang w:val="es-ES_tradnl"/>
        </w:rPr>
      </w:pPr>
      <w:r w:rsidRPr="00C80F8E">
        <w:rPr>
          <w:rFonts w:ascii="Abadi" w:hAnsi="Abadi" w:cstheme="minorHAnsi"/>
          <w:b/>
          <w:sz w:val="20"/>
          <w:szCs w:val="20"/>
          <w:lang w:val="es-ES_tradnl"/>
        </w:rPr>
        <w:t>Perdida</w:t>
      </w:r>
      <w:r w:rsidR="00551B4F" w:rsidRPr="00C80F8E">
        <w:rPr>
          <w:rFonts w:ascii="Abadi" w:hAnsi="Abadi" w:cstheme="minorHAnsi"/>
          <w:b/>
          <w:sz w:val="20"/>
          <w:szCs w:val="20"/>
          <w:lang w:val="es-ES_tradnl"/>
        </w:rPr>
        <w:t xml:space="preserve"> por diferencia cambiaria</w:t>
      </w:r>
    </w:p>
    <w:p w14:paraId="38FD1642" w14:textId="77777777" w:rsidR="00DE427A" w:rsidRPr="00C80F8E" w:rsidRDefault="003C7A40" w:rsidP="00DE427A">
      <w:pPr>
        <w:jc w:val="both"/>
        <w:rPr>
          <w:rFonts w:ascii="Abadi" w:eastAsia="Times New Roman" w:hAnsi="Abadi" w:cstheme="minorHAnsi"/>
          <w:iCs/>
          <w:sz w:val="20"/>
          <w:szCs w:val="20"/>
          <w:lang w:val="es-ES_tradnl" w:eastAsia="es-ES"/>
        </w:rPr>
      </w:pPr>
      <w:r w:rsidRPr="00C80F8E">
        <w:rPr>
          <w:rFonts w:ascii="Abadi" w:hAnsi="Abadi" w:cstheme="minorHAnsi"/>
          <w:bCs/>
          <w:sz w:val="20"/>
          <w:szCs w:val="20"/>
          <w:lang w:val="es-ES_tradnl"/>
        </w:rPr>
        <w:t>Al 30 de junio de 2025, los gastos por pérdida por diferencia cambiaria ascendieron a RD$382,203.38, en comparación con RD$39,446.00 registrados al 30 de junio de 2024. Esta diferencia representa un incremento absoluto de RD$342,757.38 y una variación relativa positiva de 868.94%.</w:t>
      </w:r>
      <w:r w:rsidR="00DE427A">
        <w:rPr>
          <w:rFonts w:ascii="Abadi" w:hAnsi="Abadi" w:cstheme="minorHAnsi"/>
          <w:bCs/>
          <w:sz w:val="20"/>
          <w:szCs w:val="20"/>
          <w:lang w:val="es-ES_tradnl"/>
        </w:rPr>
        <w:t xml:space="preserve"> </w:t>
      </w:r>
      <w:r w:rsidR="00DE427A" w:rsidRPr="00C80F8E">
        <w:rPr>
          <w:rFonts w:ascii="Abadi" w:eastAsia="Times New Roman" w:hAnsi="Abadi" w:cstheme="minorHAnsi"/>
          <w:iCs/>
          <w:sz w:val="20"/>
          <w:szCs w:val="20"/>
          <w:lang w:val="es-ES_tradnl" w:eastAsia="es-ES"/>
        </w:rPr>
        <w:t>Cabe señalar que los saldos en moneda extranjera fueron convertidos a moneda nacional utilizando el tipo de cambio comprador oficial publicado al cierre de cada ejercicio fiscal, siendo de RD$</w:t>
      </w:r>
      <w:r w:rsidR="00DE427A">
        <w:rPr>
          <w:rFonts w:ascii="Abadi" w:eastAsia="Times New Roman" w:hAnsi="Abadi" w:cstheme="minorHAnsi"/>
          <w:iCs/>
          <w:sz w:val="20"/>
          <w:szCs w:val="20"/>
          <w:lang w:val="es-ES_tradnl" w:eastAsia="es-ES"/>
        </w:rPr>
        <w:t>60.08</w:t>
      </w:r>
      <w:r w:rsidR="00DE427A" w:rsidRPr="00C80F8E">
        <w:rPr>
          <w:rFonts w:ascii="Abadi" w:eastAsia="Times New Roman" w:hAnsi="Abadi" w:cstheme="minorHAnsi"/>
          <w:iCs/>
          <w:sz w:val="20"/>
          <w:szCs w:val="20"/>
          <w:lang w:val="es-ES_tradnl" w:eastAsia="es-ES"/>
        </w:rPr>
        <w:t xml:space="preserve"> por cada dólar estadounidense al </w:t>
      </w:r>
      <w:r w:rsidR="00DE427A">
        <w:rPr>
          <w:rFonts w:ascii="Abadi" w:eastAsia="Times New Roman" w:hAnsi="Abadi" w:cstheme="minorHAnsi"/>
          <w:iCs/>
          <w:sz w:val="20"/>
          <w:szCs w:val="20"/>
          <w:lang w:val="es-ES_tradnl" w:eastAsia="es-ES"/>
        </w:rPr>
        <w:t>30 de junio</w:t>
      </w:r>
      <w:r w:rsidR="00DE427A" w:rsidRPr="00C80F8E">
        <w:rPr>
          <w:rFonts w:ascii="Abadi" w:eastAsia="Times New Roman" w:hAnsi="Abadi" w:cstheme="minorHAnsi"/>
          <w:iCs/>
          <w:sz w:val="20"/>
          <w:szCs w:val="20"/>
          <w:lang w:val="es-ES_tradnl" w:eastAsia="es-ES"/>
        </w:rPr>
        <w:t xml:space="preserve"> de 2025 y RD$59.15 al 3</w:t>
      </w:r>
      <w:r w:rsidR="00DE427A">
        <w:rPr>
          <w:rFonts w:ascii="Abadi" w:eastAsia="Times New Roman" w:hAnsi="Abadi" w:cstheme="minorHAnsi"/>
          <w:iCs/>
          <w:sz w:val="20"/>
          <w:szCs w:val="20"/>
          <w:lang w:val="es-ES_tradnl" w:eastAsia="es-ES"/>
        </w:rPr>
        <w:t xml:space="preserve">0 </w:t>
      </w:r>
      <w:r w:rsidR="00DE427A" w:rsidRPr="00C80F8E">
        <w:rPr>
          <w:rFonts w:ascii="Abadi" w:eastAsia="Times New Roman" w:hAnsi="Abadi" w:cstheme="minorHAnsi"/>
          <w:iCs/>
          <w:sz w:val="20"/>
          <w:szCs w:val="20"/>
          <w:lang w:val="es-ES_tradnl" w:eastAsia="es-ES"/>
        </w:rPr>
        <w:t xml:space="preserve">de </w:t>
      </w:r>
      <w:r w:rsidR="00DE427A">
        <w:rPr>
          <w:rFonts w:ascii="Abadi" w:eastAsia="Times New Roman" w:hAnsi="Abadi" w:cstheme="minorHAnsi"/>
          <w:iCs/>
          <w:sz w:val="20"/>
          <w:szCs w:val="20"/>
          <w:lang w:val="es-ES_tradnl" w:eastAsia="es-ES"/>
        </w:rPr>
        <w:t>junio</w:t>
      </w:r>
      <w:r w:rsidR="00DE427A" w:rsidRPr="00C80F8E">
        <w:rPr>
          <w:rFonts w:ascii="Abadi" w:eastAsia="Times New Roman" w:hAnsi="Abadi" w:cstheme="minorHAnsi"/>
          <w:iCs/>
          <w:sz w:val="20"/>
          <w:szCs w:val="20"/>
          <w:lang w:val="es-ES_tradnl" w:eastAsia="es-ES"/>
        </w:rPr>
        <w:t xml:space="preserve"> de 2024.</w:t>
      </w:r>
    </w:p>
    <w:p w14:paraId="4374BDB0" w14:textId="604BC4F5" w:rsidR="003C59F1" w:rsidRPr="00C80F8E" w:rsidRDefault="003C59F1" w:rsidP="003C7A40">
      <w:pPr>
        <w:spacing w:line="276" w:lineRule="auto"/>
        <w:jc w:val="both"/>
        <w:rPr>
          <w:rFonts w:ascii="Abadi" w:hAnsi="Abadi" w:cstheme="minorHAnsi"/>
          <w:bCs/>
          <w:sz w:val="20"/>
          <w:szCs w:val="20"/>
          <w:lang w:val="es-ES_tradnl"/>
        </w:rPr>
      </w:pPr>
    </w:p>
    <w:tbl>
      <w:tblPr>
        <w:tblStyle w:val="Tablaconcuadrcula"/>
        <w:tblW w:w="0" w:type="auto"/>
        <w:tblInd w:w="66" w:type="dxa"/>
        <w:tblLook w:val="04A0" w:firstRow="1" w:lastRow="0" w:firstColumn="1" w:lastColumn="0" w:noHBand="0" w:noVBand="1"/>
      </w:tblPr>
      <w:tblGrid>
        <w:gridCol w:w="4891"/>
        <w:gridCol w:w="2268"/>
        <w:gridCol w:w="2125"/>
      </w:tblGrid>
      <w:tr w:rsidR="003C59F1" w:rsidRPr="00C80F8E" w14:paraId="790A97CA" w14:textId="77777777" w:rsidTr="007C4061">
        <w:tc>
          <w:tcPr>
            <w:tcW w:w="4891" w:type="dxa"/>
            <w:shd w:val="clear" w:color="auto" w:fill="0070C0"/>
          </w:tcPr>
          <w:p w14:paraId="709DD357" w14:textId="77777777" w:rsidR="003C59F1" w:rsidRPr="00C80F8E" w:rsidRDefault="003C59F1" w:rsidP="007C406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Descripción</w:t>
            </w:r>
          </w:p>
        </w:tc>
        <w:tc>
          <w:tcPr>
            <w:tcW w:w="2268" w:type="dxa"/>
            <w:shd w:val="clear" w:color="auto" w:fill="0070C0"/>
          </w:tcPr>
          <w:p w14:paraId="71C1989A" w14:textId="77777777" w:rsidR="003C59F1" w:rsidRPr="00C80F8E" w:rsidRDefault="003C59F1" w:rsidP="007C406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2025</w:t>
            </w:r>
          </w:p>
        </w:tc>
        <w:tc>
          <w:tcPr>
            <w:tcW w:w="2125" w:type="dxa"/>
            <w:shd w:val="clear" w:color="auto" w:fill="0070C0"/>
          </w:tcPr>
          <w:p w14:paraId="2B0850A5" w14:textId="77777777" w:rsidR="003C59F1" w:rsidRPr="00C80F8E" w:rsidRDefault="003C59F1" w:rsidP="007C4061">
            <w:pPr>
              <w:jc w:val="center"/>
              <w:rPr>
                <w:rFonts w:ascii="Abadi" w:hAnsi="Abadi" w:cstheme="minorHAnsi"/>
                <w:b/>
                <w:bCs/>
                <w:color w:val="FFFFFF" w:themeColor="background1"/>
                <w:sz w:val="20"/>
                <w:szCs w:val="20"/>
                <w:lang w:val="es-ES_tradnl"/>
              </w:rPr>
            </w:pPr>
            <w:r w:rsidRPr="00C80F8E">
              <w:rPr>
                <w:rFonts w:ascii="Abadi" w:hAnsi="Abadi" w:cstheme="minorHAnsi"/>
                <w:b/>
                <w:bCs/>
                <w:color w:val="FFFFFF" w:themeColor="background1"/>
                <w:sz w:val="20"/>
                <w:szCs w:val="20"/>
                <w:lang w:val="es-ES_tradnl"/>
              </w:rPr>
              <w:t>2024</w:t>
            </w:r>
          </w:p>
        </w:tc>
      </w:tr>
      <w:tr w:rsidR="003C59F1" w:rsidRPr="00C80F8E" w14:paraId="0EEFB5B9" w14:textId="77777777" w:rsidTr="007C4061">
        <w:tc>
          <w:tcPr>
            <w:tcW w:w="4891" w:type="dxa"/>
          </w:tcPr>
          <w:p w14:paraId="266E1606" w14:textId="6453C563" w:rsidR="003C59F1" w:rsidRPr="00C80F8E" w:rsidRDefault="003C59F1" w:rsidP="007C4061">
            <w:pPr>
              <w:jc w:val="both"/>
              <w:rPr>
                <w:rFonts w:ascii="Abadi" w:hAnsi="Abadi" w:cstheme="minorHAnsi"/>
                <w:sz w:val="20"/>
                <w:szCs w:val="20"/>
                <w:lang w:val="es-ES_tradnl"/>
              </w:rPr>
            </w:pPr>
            <w:r w:rsidRPr="00C80F8E">
              <w:rPr>
                <w:rFonts w:ascii="Abadi" w:hAnsi="Abadi" w:cstheme="minorHAnsi"/>
                <w:bCs/>
                <w:sz w:val="20"/>
                <w:szCs w:val="20"/>
                <w:lang w:val="es-ES_tradnl"/>
              </w:rPr>
              <w:t xml:space="preserve">Gastos </w:t>
            </w:r>
            <w:r w:rsidR="000F25C0" w:rsidRPr="00C80F8E">
              <w:rPr>
                <w:rFonts w:ascii="Abadi" w:hAnsi="Abadi" w:cstheme="minorHAnsi"/>
                <w:bCs/>
                <w:sz w:val="20"/>
                <w:szCs w:val="20"/>
                <w:lang w:val="es-ES_tradnl"/>
              </w:rPr>
              <w:t>Perdida por diferencia cambiaria</w:t>
            </w:r>
          </w:p>
        </w:tc>
        <w:tc>
          <w:tcPr>
            <w:tcW w:w="2268" w:type="dxa"/>
            <w:tcBorders>
              <w:bottom w:val="single" w:sz="12" w:space="0" w:color="auto"/>
            </w:tcBorders>
          </w:tcPr>
          <w:p w14:paraId="684F9E8C" w14:textId="044E62D6" w:rsidR="003C59F1" w:rsidRPr="00C80F8E" w:rsidRDefault="00096CE0" w:rsidP="007C4061">
            <w:pPr>
              <w:jc w:val="right"/>
              <w:rPr>
                <w:rFonts w:ascii="Abadi" w:hAnsi="Abadi" w:cstheme="minorHAnsi"/>
                <w:sz w:val="20"/>
                <w:szCs w:val="20"/>
                <w:lang w:val="es-ES_tradnl"/>
              </w:rPr>
            </w:pPr>
            <w:r w:rsidRPr="00C80F8E">
              <w:rPr>
                <w:rFonts w:ascii="Abadi" w:hAnsi="Abadi" w:cstheme="minorHAnsi"/>
                <w:sz w:val="20"/>
                <w:szCs w:val="20"/>
                <w:lang w:val="es-ES_tradnl"/>
              </w:rPr>
              <w:t>382,203.38</w:t>
            </w:r>
          </w:p>
        </w:tc>
        <w:tc>
          <w:tcPr>
            <w:tcW w:w="2125" w:type="dxa"/>
            <w:tcBorders>
              <w:bottom w:val="single" w:sz="12" w:space="0" w:color="auto"/>
            </w:tcBorders>
          </w:tcPr>
          <w:p w14:paraId="51824DCE" w14:textId="423901F6" w:rsidR="003C59F1" w:rsidRPr="00C80F8E" w:rsidRDefault="00FB78CE" w:rsidP="007C4061">
            <w:pPr>
              <w:jc w:val="right"/>
              <w:rPr>
                <w:rFonts w:ascii="Abadi" w:hAnsi="Abadi" w:cstheme="minorHAnsi"/>
                <w:sz w:val="20"/>
                <w:szCs w:val="20"/>
                <w:lang w:val="es-ES_tradnl"/>
              </w:rPr>
            </w:pPr>
            <w:r w:rsidRPr="00C80F8E">
              <w:rPr>
                <w:rFonts w:ascii="Abadi" w:hAnsi="Abadi" w:cstheme="minorHAnsi"/>
                <w:sz w:val="20"/>
                <w:szCs w:val="20"/>
                <w:lang w:val="es-ES_tradnl"/>
              </w:rPr>
              <w:t>39,446.00</w:t>
            </w:r>
          </w:p>
        </w:tc>
      </w:tr>
      <w:tr w:rsidR="003C59F1" w:rsidRPr="00C80F8E" w14:paraId="6C8E65DC" w14:textId="77777777" w:rsidTr="007C4061">
        <w:tc>
          <w:tcPr>
            <w:tcW w:w="4891" w:type="dxa"/>
          </w:tcPr>
          <w:p w14:paraId="1D1B448A" w14:textId="77777777" w:rsidR="003C59F1" w:rsidRPr="00C80F8E" w:rsidRDefault="003C59F1" w:rsidP="007C4061">
            <w:pPr>
              <w:jc w:val="both"/>
              <w:rPr>
                <w:rFonts w:ascii="Abadi" w:hAnsi="Abadi" w:cstheme="minorHAnsi"/>
                <w:sz w:val="20"/>
                <w:szCs w:val="20"/>
                <w:lang w:val="es-ES_tradnl"/>
              </w:rPr>
            </w:pPr>
            <w:r w:rsidRPr="00C80F8E">
              <w:rPr>
                <w:rFonts w:ascii="Abadi" w:hAnsi="Abadi" w:cstheme="minorHAnsi"/>
                <w:sz w:val="20"/>
                <w:szCs w:val="20"/>
                <w:lang w:val="es-ES_tradnl"/>
              </w:rPr>
              <w:t xml:space="preserve">Total </w:t>
            </w:r>
          </w:p>
        </w:tc>
        <w:tc>
          <w:tcPr>
            <w:tcW w:w="2268" w:type="dxa"/>
            <w:tcBorders>
              <w:top w:val="single" w:sz="12" w:space="0" w:color="auto"/>
              <w:bottom w:val="double" w:sz="4" w:space="0" w:color="auto"/>
            </w:tcBorders>
          </w:tcPr>
          <w:p w14:paraId="3A211CCD" w14:textId="25A7BA65" w:rsidR="003C59F1" w:rsidRPr="00C80F8E" w:rsidRDefault="00096CE0" w:rsidP="007C4061">
            <w:pPr>
              <w:jc w:val="right"/>
              <w:rPr>
                <w:rFonts w:ascii="Abadi" w:hAnsi="Abadi" w:cstheme="minorHAnsi"/>
                <w:b/>
                <w:bCs/>
                <w:sz w:val="20"/>
                <w:szCs w:val="20"/>
                <w:lang w:val="es-ES_tradnl"/>
              </w:rPr>
            </w:pPr>
            <w:r w:rsidRPr="00C80F8E">
              <w:rPr>
                <w:rFonts w:ascii="Abadi" w:hAnsi="Abadi" w:cstheme="minorHAnsi"/>
                <w:b/>
                <w:bCs/>
                <w:sz w:val="20"/>
                <w:szCs w:val="20"/>
                <w:lang w:val="es-ES_tradnl"/>
              </w:rPr>
              <w:t>382,203.38</w:t>
            </w:r>
          </w:p>
        </w:tc>
        <w:tc>
          <w:tcPr>
            <w:tcW w:w="2125" w:type="dxa"/>
            <w:tcBorders>
              <w:top w:val="single" w:sz="12" w:space="0" w:color="auto"/>
              <w:bottom w:val="double" w:sz="4" w:space="0" w:color="auto"/>
            </w:tcBorders>
          </w:tcPr>
          <w:p w14:paraId="235AC6EE" w14:textId="200D134F" w:rsidR="003C59F1" w:rsidRPr="00C80F8E" w:rsidRDefault="00FB78CE" w:rsidP="007C4061">
            <w:pPr>
              <w:jc w:val="right"/>
              <w:rPr>
                <w:rFonts w:ascii="Abadi" w:hAnsi="Abadi" w:cstheme="minorHAnsi"/>
                <w:b/>
                <w:bCs/>
                <w:sz w:val="20"/>
                <w:szCs w:val="20"/>
                <w:lang w:val="es-ES_tradnl"/>
              </w:rPr>
            </w:pPr>
            <w:r w:rsidRPr="00C80F8E">
              <w:rPr>
                <w:rFonts w:ascii="Abadi" w:hAnsi="Abadi" w:cstheme="minorHAnsi"/>
                <w:b/>
                <w:bCs/>
                <w:sz w:val="20"/>
                <w:szCs w:val="20"/>
                <w:lang w:val="es-ES_tradnl"/>
              </w:rPr>
              <w:t>39,446.00</w:t>
            </w:r>
          </w:p>
        </w:tc>
      </w:tr>
    </w:tbl>
    <w:p w14:paraId="4701A3C2" w14:textId="77777777" w:rsidR="003C59F1" w:rsidRPr="00C80F8E" w:rsidRDefault="003C59F1" w:rsidP="007059D3">
      <w:pPr>
        <w:rPr>
          <w:rFonts w:ascii="Abadi" w:hAnsi="Abadi" w:cstheme="minorHAnsi"/>
          <w:sz w:val="20"/>
          <w:szCs w:val="20"/>
          <w:lang w:val="es-ES_tradnl"/>
        </w:rPr>
      </w:pPr>
    </w:p>
    <w:p w14:paraId="3C4D58DA" w14:textId="6EFA1AB4" w:rsidR="00E55184" w:rsidRPr="00C80F8E" w:rsidRDefault="00E55184" w:rsidP="00E55184">
      <w:pPr>
        <w:spacing w:line="276" w:lineRule="auto"/>
        <w:jc w:val="both"/>
        <w:rPr>
          <w:rFonts w:ascii="Abadi" w:hAnsi="Abadi" w:cstheme="minorHAnsi"/>
          <w:sz w:val="20"/>
          <w:szCs w:val="20"/>
          <w:lang w:val="es-ES_tradnl"/>
        </w:rPr>
      </w:pPr>
      <w:r w:rsidRPr="00C80F8E">
        <w:rPr>
          <w:rFonts w:ascii="Abadi" w:hAnsi="Abadi" w:cstheme="minorHAnsi"/>
          <w:sz w:val="20"/>
          <w:szCs w:val="20"/>
          <w:lang w:val="es-ES_tradnl"/>
        </w:rPr>
        <w:t xml:space="preserve">Al 30 de junio de 2025, </w:t>
      </w:r>
      <w:r w:rsidR="006E49EA" w:rsidRPr="00C80F8E">
        <w:rPr>
          <w:rFonts w:ascii="Abadi" w:hAnsi="Abadi" w:cstheme="minorHAnsi"/>
          <w:sz w:val="20"/>
          <w:szCs w:val="20"/>
          <w:lang w:val="es-ES_tradnl"/>
        </w:rPr>
        <w:t>existe</w:t>
      </w:r>
      <w:r w:rsidRPr="00C80F8E">
        <w:rPr>
          <w:rFonts w:ascii="Abadi" w:hAnsi="Abadi" w:cstheme="minorHAnsi"/>
          <w:sz w:val="20"/>
          <w:szCs w:val="20"/>
          <w:lang w:val="es-ES_tradnl"/>
        </w:rPr>
        <w:t xml:space="preserve"> </w:t>
      </w:r>
      <w:r w:rsidR="008D396F" w:rsidRPr="00C80F8E">
        <w:rPr>
          <w:rFonts w:ascii="Abadi" w:hAnsi="Abadi" w:cstheme="minorHAnsi"/>
          <w:sz w:val="20"/>
          <w:szCs w:val="20"/>
          <w:lang w:val="es-ES_tradnl"/>
        </w:rPr>
        <w:t xml:space="preserve">un registro acumulado </w:t>
      </w:r>
      <w:r w:rsidR="005F470A" w:rsidRPr="00C80F8E">
        <w:rPr>
          <w:rFonts w:ascii="Abadi" w:hAnsi="Abadi" w:cstheme="minorHAnsi"/>
          <w:sz w:val="20"/>
          <w:szCs w:val="20"/>
          <w:lang w:val="es-ES_tradnl"/>
        </w:rPr>
        <w:t>correspondiente a</w:t>
      </w:r>
      <w:r w:rsidR="008D396F" w:rsidRPr="00C80F8E">
        <w:rPr>
          <w:rFonts w:ascii="Abadi" w:hAnsi="Abadi" w:cstheme="minorHAnsi"/>
          <w:sz w:val="20"/>
          <w:szCs w:val="20"/>
          <w:lang w:val="es-ES_tradnl"/>
        </w:rPr>
        <w:t xml:space="preserve"> abril</w:t>
      </w:r>
      <w:r w:rsidR="005F470A" w:rsidRPr="00C80F8E">
        <w:rPr>
          <w:rFonts w:ascii="Abadi" w:hAnsi="Abadi" w:cstheme="minorHAnsi"/>
          <w:sz w:val="20"/>
          <w:szCs w:val="20"/>
          <w:lang w:val="es-ES_tradnl"/>
        </w:rPr>
        <w:t xml:space="preserve">, de </w:t>
      </w:r>
      <w:r w:rsidRPr="00C80F8E">
        <w:rPr>
          <w:rFonts w:ascii="Abadi" w:hAnsi="Abadi" w:cstheme="minorHAnsi"/>
          <w:sz w:val="20"/>
          <w:szCs w:val="20"/>
          <w:lang w:val="es-ES_tradnl"/>
        </w:rPr>
        <w:t>una pérdida por diferencia cambiaria por un monto de RD$382,203.38, en comparación con una pérdida de RD$39,446.00 registrada al 30 de junio de 2024. Esta diferencia representa un incremento absoluto de RD$342,757.38 y una variación relativa positiva de 868.94%.</w:t>
      </w:r>
    </w:p>
    <w:p w14:paraId="1AFD420F" w14:textId="77777777" w:rsidR="000A7B86" w:rsidRPr="000A7B86" w:rsidRDefault="000A7B86" w:rsidP="000A7B86">
      <w:pPr>
        <w:spacing w:line="276" w:lineRule="auto"/>
        <w:jc w:val="both"/>
        <w:rPr>
          <w:rFonts w:ascii="Abadi" w:hAnsi="Abadi" w:cstheme="minorHAnsi"/>
          <w:sz w:val="20"/>
          <w:szCs w:val="20"/>
          <w:lang w:val="es-ES_tradnl"/>
        </w:rPr>
      </w:pPr>
      <w:r w:rsidRPr="000A7B86">
        <w:rPr>
          <w:rFonts w:ascii="Abadi" w:hAnsi="Abadi" w:cstheme="minorHAnsi"/>
          <w:sz w:val="20"/>
          <w:szCs w:val="20"/>
          <w:lang w:val="es-ES_tradnl"/>
        </w:rPr>
        <w:t>Dicha pérdida corresponde al ajuste contable derivado de la revaluación del saldo en moneda extranjera de la cuenta de ahorros No. 200-02-010-000932-3, mantenida en dólares estadounidenses. Según el análisis de movimientos:</w:t>
      </w:r>
    </w:p>
    <w:p w14:paraId="00DC0CEC" w14:textId="77777777" w:rsidR="000A7B86" w:rsidRPr="000A7B86" w:rsidRDefault="000A7B86" w:rsidP="00A7606E">
      <w:pPr>
        <w:numPr>
          <w:ilvl w:val="0"/>
          <w:numId w:val="5"/>
        </w:numPr>
        <w:spacing w:line="276" w:lineRule="auto"/>
        <w:jc w:val="both"/>
        <w:rPr>
          <w:rFonts w:ascii="Abadi" w:hAnsi="Abadi" w:cstheme="minorHAnsi"/>
          <w:sz w:val="20"/>
          <w:szCs w:val="20"/>
          <w:lang w:val="es-ES_tradnl"/>
        </w:rPr>
      </w:pPr>
      <w:r w:rsidRPr="000A7B86">
        <w:rPr>
          <w:rFonts w:ascii="Abadi" w:hAnsi="Abadi" w:cstheme="minorHAnsi"/>
          <w:sz w:val="20"/>
          <w:szCs w:val="20"/>
          <w:lang w:val="es-ES_tradnl"/>
        </w:rPr>
        <w:t>El saldo al 31 de marzo de 2025 ascendía a US$86,136.82, valorado a una tasa de cambio de RD$63.43, equivalente a RD$5,463,658.49.</w:t>
      </w:r>
    </w:p>
    <w:p w14:paraId="14E87A8D" w14:textId="77777777" w:rsidR="000A7B86" w:rsidRPr="000A7B86" w:rsidRDefault="000A7B86" w:rsidP="00A7606E">
      <w:pPr>
        <w:numPr>
          <w:ilvl w:val="0"/>
          <w:numId w:val="5"/>
        </w:numPr>
        <w:spacing w:line="276" w:lineRule="auto"/>
        <w:jc w:val="both"/>
        <w:rPr>
          <w:rFonts w:ascii="Abadi" w:hAnsi="Abadi" w:cstheme="minorHAnsi"/>
          <w:sz w:val="20"/>
          <w:szCs w:val="20"/>
          <w:lang w:val="es-ES_tradnl"/>
        </w:rPr>
      </w:pPr>
      <w:r w:rsidRPr="000A7B86">
        <w:rPr>
          <w:rFonts w:ascii="Abadi" w:hAnsi="Abadi" w:cstheme="minorHAnsi"/>
          <w:sz w:val="20"/>
          <w:szCs w:val="20"/>
          <w:lang w:val="es-ES_tradnl"/>
        </w:rPr>
        <w:t>Al 8 de abril de 2025, se registró un depósito por US$750.00 por concepto de devolución de gastos de representación en el exterior, aumentando el saldo a US$86,886.82.</w:t>
      </w:r>
    </w:p>
    <w:p w14:paraId="35B22B45" w14:textId="77777777" w:rsidR="000A7B86" w:rsidRPr="000A7B86" w:rsidRDefault="000A7B86" w:rsidP="00A7606E">
      <w:pPr>
        <w:numPr>
          <w:ilvl w:val="0"/>
          <w:numId w:val="5"/>
        </w:numPr>
        <w:spacing w:line="276" w:lineRule="auto"/>
        <w:jc w:val="both"/>
        <w:rPr>
          <w:rFonts w:ascii="Abadi" w:hAnsi="Abadi" w:cstheme="minorHAnsi"/>
          <w:sz w:val="20"/>
          <w:szCs w:val="20"/>
          <w:lang w:val="es-ES_tradnl"/>
        </w:rPr>
      </w:pPr>
      <w:r w:rsidRPr="000A7B86">
        <w:rPr>
          <w:rFonts w:ascii="Abadi" w:hAnsi="Abadi" w:cstheme="minorHAnsi"/>
          <w:sz w:val="20"/>
          <w:szCs w:val="20"/>
          <w:lang w:val="es-ES_tradnl"/>
        </w:rPr>
        <w:t>Este nuevo saldo fue revaluado a una tasa de RD$62.14, lo que llevó el valor en libros a RD$5,510,263.49.</w:t>
      </w:r>
    </w:p>
    <w:p w14:paraId="0F32D651" w14:textId="77777777" w:rsidR="000A7B86" w:rsidRPr="000A7B86" w:rsidRDefault="000A7B86" w:rsidP="00A7606E">
      <w:pPr>
        <w:numPr>
          <w:ilvl w:val="0"/>
          <w:numId w:val="5"/>
        </w:numPr>
        <w:spacing w:line="276" w:lineRule="auto"/>
        <w:jc w:val="both"/>
        <w:rPr>
          <w:rFonts w:ascii="Abadi" w:hAnsi="Abadi" w:cstheme="minorHAnsi"/>
          <w:sz w:val="20"/>
          <w:szCs w:val="20"/>
          <w:lang w:val="es-ES_tradnl"/>
        </w:rPr>
      </w:pPr>
      <w:r w:rsidRPr="000A7B86">
        <w:rPr>
          <w:rFonts w:ascii="Abadi" w:hAnsi="Abadi" w:cstheme="minorHAnsi"/>
          <w:sz w:val="20"/>
          <w:szCs w:val="20"/>
          <w:lang w:val="es-ES_tradnl"/>
        </w:rPr>
        <w:t>Finalmente, al cierre de abril, con la aplicación de la tasa de RD$59.02, el saldo contable en moneda nacional se redujo a RD$5,128,060.12, generando la pérdida registrada por RD$382,203.38.</w:t>
      </w:r>
    </w:p>
    <w:p w14:paraId="2C548DEF" w14:textId="77777777" w:rsidR="000A7B86" w:rsidRPr="00C80F8E" w:rsidRDefault="000A7B86" w:rsidP="000A7B86">
      <w:pPr>
        <w:spacing w:line="276" w:lineRule="auto"/>
        <w:jc w:val="both"/>
        <w:rPr>
          <w:rFonts w:ascii="Abadi" w:hAnsi="Abadi" w:cstheme="minorHAnsi"/>
          <w:sz w:val="20"/>
          <w:szCs w:val="20"/>
          <w:lang w:val="es-ES_tradnl"/>
        </w:rPr>
      </w:pPr>
      <w:r w:rsidRPr="000A7B86">
        <w:rPr>
          <w:rFonts w:ascii="Abadi" w:hAnsi="Abadi" w:cstheme="minorHAnsi"/>
          <w:sz w:val="20"/>
          <w:szCs w:val="20"/>
          <w:lang w:val="es-ES_tradnl"/>
        </w:rPr>
        <w:t>Este ajuste responde a las variaciones en las tasas de cambio oficiales del Banco Central de la República Dominicana y fue reconocido de conformidad con la Norma Internacional de Contabilidad del Sector Público (NICSP) 4 – Efectos de las Variaciones en las Tasas de Cambio de la Moneda Extranjera.</w:t>
      </w:r>
    </w:p>
    <w:p w14:paraId="276DA876" w14:textId="77777777" w:rsidR="00EB1B15" w:rsidRPr="002B2F4F" w:rsidRDefault="00EB1B15" w:rsidP="00EB1B15">
      <w:pPr>
        <w:spacing w:line="276" w:lineRule="auto"/>
        <w:jc w:val="both"/>
        <w:rPr>
          <w:rFonts w:ascii="Abadi" w:hAnsi="Abadi" w:cstheme="minorHAnsi"/>
          <w:bCs/>
          <w:iCs/>
          <w:sz w:val="20"/>
          <w:szCs w:val="20"/>
          <w:lang w:val="es-ES_tradnl"/>
        </w:rPr>
      </w:pPr>
      <w:r w:rsidRPr="002B2F4F">
        <w:rPr>
          <w:rFonts w:ascii="Abadi" w:hAnsi="Abadi" w:cstheme="minorHAnsi"/>
          <w:bCs/>
          <w:iCs/>
          <w:sz w:val="20"/>
          <w:szCs w:val="20"/>
          <w:lang w:val="es-ES_tradnl"/>
        </w:rPr>
        <w:t xml:space="preserve">De acuerdo con los lineamientos establecidos por la Dirección General de Contabilidad Gubernamental (DIGECOG) y su plataforma CONSOL+, el tratamiento contable y presentación de los efectos cambiarios se </w:t>
      </w:r>
      <w:r w:rsidRPr="002B2F4F">
        <w:rPr>
          <w:rFonts w:ascii="Abadi" w:hAnsi="Abadi" w:cstheme="minorHAnsi"/>
          <w:bCs/>
          <w:iCs/>
          <w:sz w:val="20"/>
          <w:szCs w:val="20"/>
          <w:lang w:val="es-ES_tradnl"/>
        </w:rPr>
        <w:lastRenderedPageBreak/>
        <w:t xml:space="preserve">realiza de forma consolidada en el Estado de Rendimiento </w:t>
      </w:r>
      <w:r w:rsidRPr="00C80F8E">
        <w:rPr>
          <w:rFonts w:ascii="Abadi" w:hAnsi="Abadi" w:cstheme="minorHAnsi"/>
          <w:bCs/>
          <w:iCs/>
          <w:sz w:val="20"/>
          <w:szCs w:val="20"/>
          <w:lang w:val="es-ES_tradnl"/>
        </w:rPr>
        <w:t>como un</w:t>
      </w:r>
      <w:r w:rsidRPr="002B2F4F">
        <w:rPr>
          <w:rFonts w:ascii="Abadi" w:hAnsi="Abadi" w:cstheme="minorHAnsi"/>
          <w:bCs/>
          <w:iCs/>
          <w:sz w:val="20"/>
          <w:szCs w:val="20"/>
          <w:lang w:val="es-ES_tradnl"/>
        </w:rPr>
        <w:t xml:space="preserve"> </w:t>
      </w:r>
      <w:r w:rsidRPr="00C80F8E">
        <w:rPr>
          <w:rFonts w:ascii="Abadi" w:hAnsi="Abadi" w:cstheme="minorHAnsi"/>
          <w:bCs/>
          <w:iCs/>
          <w:sz w:val="20"/>
          <w:szCs w:val="20"/>
          <w:lang w:val="es-ES_tradnl"/>
        </w:rPr>
        <w:t>v</w:t>
      </w:r>
      <w:r w:rsidRPr="002B2F4F">
        <w:rPr>
          <w:rFonts w:ascii="Abadi" w:hAnsi="Abadi" w:cstheme="minorHAnsi"/>
          <w:bCs/>
          <w:iCs/>
          <w:sz w:val="20"/>
          <w:szCs w:val="20"/>
          <w:lang w:val="es-ES_tradnl"/>
        </w:rPr>
        <w:t xml:space="preserve">alor </w:t>
      </w:r>
      <w:r w:rsidRPr="00C80F8E">
        <w:rPr>
          <w:rFonts w:ascii="Abadi" w:hAnsi="Abadi" w:cstheme="minorHAnsi"/>
          <w:bCs/>
          <w:iCs/>
          <w:sz w:val="20"/>
          <w:szCs w:val="20"/>
          <w:lang w:val="es-ES_tradnl"/>
        </w:rPr>
        <w:t>n</w:t>
      </w:r>
      <w:r w:rsidRPr="002B2F4F">
        <w:rPr>
          <w:rFonts w:ascii="Abadi" w:hAnsi="Abadi" w:cstheme="minorHAnsi"/>
          <w:bCs/>
          <w:iCs/>
          <w:sz w:val="20"/>
          <w:szCs w:val="20"/>
          <w:lang w:val="es-ES_tradnl"/>
        </w:rPr>
        <w:t>eto, considerando tanto las primas positivas como las pérdidas por diferencia de cambio.</w:t>
      </w:r>
    </w:p>
    <w:p w14:paraId="34E46DB7" w14:textId="77777777" w:rsidR="00EB1B15" w:rsidRPr="002B2F4F" w:rsidRDefault="00EB1B15" w:rsidP="00EB1B15">
      <w:pPr>
        <w:spacing w:line="276" w:lineRule="auto"/>
        <w:jc w:val="both"/>
        <w:rPr>
          <w:rFonts w:ascii="Abadi" w:hAnsi="Abadi" w:cstheme="minorHAnsi"/>
          <w:bCs/>
          <w:iCs/>
          <w:sz w:val="20"/>
          <w:szCs w:val="20"/>
          <w:lang w:val="es-ES_tradnl"/>
        </w:rPr>
      </w:pPr>
      <w:r w:rsidRPr="002B2F4F">
        <w:rPr>
          <w:rFonts w:ascii="Abadi" w:hAnsi="Abadi" w:cstheme="minorHAnsi"/>
          <w:bCs/>
          <w:iCs/>
          <w:sz w:val="20"/>
          <w:szCs w:val="20"/>
          <w:lang w:val="es-ES_tradnl"/>
        </w:rPr>
        <w:t>En ese sentido, aunque en los registros internos de la entidad se reportan de manera desagregada los ingresos por prima cambiaria favorable y las pérdidas cambiarias, el aplicativo CONSOL+ compensa ambos saldos y presenta únicamente el resultado neto por efectos del tipo de cambio, en cumplimiento con el modelo de presentación previsto por el Manual de Estados Financieros Gubernamentales y las directrices de la NICSP 4 y NICSP 1.</w:t>
      </w:r>
    </w:p>
    <w:p w14:paraId="3A51DDD2" w14:textId="77777777" w:rsidR="00EB1B15" w:rsidRPr="002B2F4F" w:rsidRDefault="00EB1B15" w:rsidP="00EB1B15">
      <w:pPr>
        <w:spacing w:line="276" w:lineRule="auto"/>
        <w:jc w:val="both"/>
        <w:rPr>
          <w:rFonts w:ascii="Abadi" w:hAnsi="Abadi" w:cstheme="minorHAnsi"/>
          <w:bCs/>
          <w:iCs/>
          <w:sz w:val="20"/>
          <w:szCs w:val="20"/>
          <w:lang w:val="es-ES_tradnl"/>
        </w:rPr>
      </w:pPr>
      <w:r w:rsidRPr="002B2F4F">
        <w:rPr>
          <w:rFonts w:ascii="Abadi" w:hAnsi="Abadi" w:cstheme="minorHAnsi"/>
          <w:bCs/>
          <w:iCs/>
          <w:sz w:val="20"/>
          <w:szCs w:val="20"/>
          <w:lang w:val="es-ES_tradnl"/>
        </w:rPr>
        <w:t>Esta presentación tiene por objetivo reflejar el impacto neto de las variaciones en la tasa de cambio sobre las disponibilidades en moneda extranjera, conforme al principio de relevancia y claridad de la información financiera aplicable al sector público.</w:t>
      </w:r>
    </w:p>
    <w:p w14:paraId="651D12F8" w14:textId="77777777" w:rsidR="00EB1B15" w:rsidRPr="000A7B86" w:rsidRDefault="00EB1B15" w:rsidP="000A7B86">
      <w:pPr>
        <w:spacing w:line="276" w:lineRule="auto"/>
        <w:jc w:val="both"/>
        <w:rPr>
          <w:rFonts w:ascii="Abadi" w:hAnsi="Abadi" w:cstheme="minorHAnsi"/>
          <w:sz w:val="20"/>
          <w:szCs w:val="20"/>
          <w:lang w:val="es-ES_tradnl"/>
        </w:rPr>
      </w:pPr>
    </w:p>
    <w:p w14:paraId="151B58CC" w14:textId="77777777" w:rsidR="005F470A" w:rsidRPr="00C80F8E" w:rsidRDefault="005F470A" w:rsidP="00E55184">
      <w:pPr>
        <w:spacing w:line="276" w:lineRule="auto"/>
        <w:jc w:val="both"/>
        <w:rPr>
          <w:rFonts w:ascii="Abadi" w:hAnsi="Abadi" w:cstheme="minorHAnsi"/>
          <w:sz w:val="20"/>
          <w:szCs w:val="20"/>
          <w:lang w:val="es-ES_tradnl"/>
        </w:rPr>
      </w:pPr>
    </w:p>
    <w:p w14:paraId="54CAE426" w14:textId="77777777" w:rsidR="005F470A" w:rsidRPr="00C80F8E" w:rsidRDefault="005F470A" w:rsidP="00E55184">
      <w:pPr>
        <w:spacing w:line="276" w:lineRule="auto"/>
        <w:jc w:val="both"/>
        <w:rPr>
          <w:rFonts w:ascii="Abadi" w:hAnsi="Abadi" w:cstheme="minorHAnsi"/>
          <w:sz w:val="20"/>
          <w:szCs w:val="20"/>
          <w:lang w:val="es-ES_tradnl"/>
        </w:rPr>
      </w:pPr>
    </w:p>
    <w:sectPr w:rsidR="005F470A" w:rsidRPr="00C80F8E" w:rsidSect="000647C7">
      <w:pgSz w:w="12240" w:h="15840" w:code="1"/>
      <w:pgMar w:top="794" w:right="1440" w:bottom="794"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27653" w14:textId="77777777" w:rsidR="00C44120" w:rsidRDefault="00C44120" w:rsidP="00C50ADC">
      <w:pPr>
        <w:spacing w:after="0" w:line="240" w:lineRule="auto"/>
      </w:pPr>
      <w:r>
        <w:separator/>
      </w:r>
    </w:p>
  </w:endnote>
  <w:endnote w:type="continuationSeparator" w:id="0">
    <w:p w14:paraId="2E06FA36" w14:textId="77777777" w:rsidR="00C44120" w:rsidRDefault="00C44120" w:rsidP="00C50ADC">
      <w:pPr>
        <w:spacing w:after="0" w:line="240" w:lineRule="auto"/>
      </w:pPr>
      <w:r>
        <w:continuationSeparator/>
      </w:r>
    </w:p>
  </w:endnote>
  <w:endnote w:type="continuationNotice" w:id="1">
    <w:p w14:paraId="5B2ACC97" w14:textId="77777777" w:rsidR="00C44120" w:rsidRDefault="00C44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Calibr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9847" w14:textId="77777777" w:rsidR="00FC695F" w:rsidRDefault="00FC695F" w:rsidP="00FD0ABD">
    <w:pPr>
      <w:pStyle w:val="Piedepgina"/>
    </w:pPr>
  </w:p>
  <w:p w14:paraId="0340E1B2" w14:textId="77777777" w:rsidR="00FC695F" w:rsidRDefault="00FC695F" w:rsidP="00FD0A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CDAA" w14:textId="62AE6ADE" w:rsidR="00393BDB" w:rsidRDefault="00393BD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sidR="00A43399">
      <w:rPr>
        <w:color w:val="323E4F" w:themeColor="text2" w:themeShade="BF"/>
        <w:sz w:val="24"/>
        <w:szCs w:val="24"/>
      </w:rPr>
      <w:t>37</w:t>
    </w:r>
  </w:p>
  <w:p w14:paraId="2157DAA7" w14:textId="66ED3608" w:rsidR="00FC695F" w:rsidRPr="00931123" w:rsidRDefault="00FC695F" w:rsidP="00010CC3">
    <w:pPr>
      <w:pStyle w:val="Piedepgina"/>
      <w:pBdr>
        <w:top w:val="single" w:sz="4" w:space="1" w:color="auto"/>
      </w:pBd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FEA9" w14:textId="4C8AD1E3" w:rsidR="00FC695F" w:rsidRDefault="00FC695F" w:rsidP="00FD0ABD">
    <w:pPr>
      <w:pStyle w:val="Piedepgina"/>
    </w:pPr>
  </w:p>
  <w:p w14:paraId="4B0059B4" w14:textId="77777777" w:rsidR="00507B0A" w:rsidRDefault="00507B0A" w:rsidP="00FD0ABD">
    <w:pPr>
      <w:pStyle w:val="Piedepgina"/>
    </w:pPr>
  </w:p>
  <w:p w14:paraId="79C2813E" w14:textId="77777777" w:rsidR="00FC695F" w:rsidRDefault="00FC695F" w:rsidP="00FD0A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B95E" w14:textId="77777777" w:rsidR="00C44120" w:rsidRDefault="00C44120" w:rsidP="00C50ADC">
      <w:pPr>
        <w:spacing w:after="0" w:line="240" w:lineRule="auto"/>
      </w:pPr>
      <w:r>
        <w:separator/>
      </w:r>
    </w:p>
  </w:footnote>
  <w:footnote w:type="continuationSeparator" w:id="0">
    <w:p w14:paraId="0F1BA3F6" w14:textId="77777777" w:rsidR="00C44120" w:rsidRDefault="00C44120" w:rsidP="00C50ADC">
      <w:pPr>
        <w:spacing w:after="0" w:line="240" w:lineRule="auto"/>
      </w:pPr>
      <w:r>
        <w:continuationSeparator/>
      </w:r>
    </w:p>
  </w:footnote>
  <w:footnote w:type="continuationNotice" w:id="1">
    <w:p w14:paraId="3B729A4B" w14:textId="77777777" w:rsidR="00C44120" w:rsidRDefault="00C44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A7AE" w14:textId="77777777" w:rsidR="00FC695F" w:rsidRPr="00BB3271" w:rsidRDefault="00FC695F">
    <w:pPr>
      <w:pStyle w:val="Encabezado"/>
      <w:rPr>
        <w:b/>
        <w:bCs/>
        <w:sz w:val="40"/>
        <w:szCs w:val="40"/>
        <w:lang w:val="es-MX"/>
      </w:rPr>
    </w:pPr>
    <w:r w:rsidRPr="00BB3271">
      <w:rPr>
        <w:b/>
        <w:bCs/>
        <w:sz w:val="40"/>
        <w:szCs w:val="40"/>
        <w:lang w:val="es-MX"/>
      </w:rPr>
      <w:t xml:space="preserve">Ministerio De Medio </w:t>
    </w:r>
    <w:r w:rsidR="00675CFD" w:rsidRPr="00BB3271">
      <w:rPr>
        <w:b/>
        <w:bCs/>
        <w:sz w:val="40"/>
        <w:szCs w:val="40"/>
        <w:lang w:val="es-MX"/>
      </w:rPr>
      <w:t>Ambiente</w:t>
    </w:r>
    <w:r w:rsidRPr="00BB3271">
      <w:rPr>
        <w:b/>
        <w:bCs/>
        <w:sz w:val="40"/>
        <w:szCs w:val="40"/>
        <w:lang w:val="es-MX"/>
      </w:rPr>
      <w:t xml:space="preserve"> y Recursos Naturales</w:t>
    </w:r>
  </w:p>
  <w:p w14:paraId="68E4AC81" w14:textId="77777777" w:rsidR="00FC695F" w:rsidRDefault="00FC695F">
    <w:pPr>
      <w:pStyle w:val="Encabezado"/>
      <w:rPr>
        <w:lang w:val="es-MX"/>
      </w:rPr>
    </w:pPr>
  </w:p>
  <w:p w14:paraId="27BAB917" w14:textId="77777777" w:rsidR="00FC695F" w:rsidRPr="00BB3271" w:rsidRDefault="00FC695F">
    <w:pPr>
      <w:pStyle w:val="Encabezado"/>
      <w:rPr>
        <w:b/>
        <w:bCs/>
        <w:lang w:val="es-MX"/>
      </w:rPr>
    </w:pPr>
    <w:r w:rsidRPr="00BB3271">
      <w:rPr>
        <w:b/>
        <w:bCs/>
        <w:lang w:val="es-MX"/>
      </w:rPr>
      <w:t>Notas a los Estados Financieros</w:t>
    </w:r>
  </w:p>
  <w:p w14:paraId="415B743B" w14:textId="0307DE86" w:rsidR="00FC695F" w:rsidRPr="00BB3271" w:rsidRDefault="00FC695F">
    <w:pPr>
      <w:pStyle w:val="Encabezado"/>
      <w:rPr>
        <w:b/>
        <w:bCs/>
        <w:lang w:val="es-MX"/>
      </w:rPr>
    </w:pPr>
    <w:r w:rsidRPr="00BB3271">
      <w:rPr>
        <w:b/>
        <w:bCs/>
        <w:lang w:val="es-MX"/>
      </w:rPr>
      <w:t xml:space="preserve">31 de </w:t>
    </w:r>
    <w:r w:rsidR="00EA13C2">
      <w:rPr>
        <w:b/>
        <w:bCs/>
        <w:lang w:val="es-MX"/>
      </w:rPr>
      <w:t>agosto</w:t>
    </w:r>
    <w:r w:rsidRPr="00BB3271">
      <w:rPr>
        <w:b/>
        <w:bCs/>
        <w:lang w:val="es-MX"/>
      </w:rPr>
      <w:t xml:space="preserve"> de 2022 y </w:t>
    </w:r>
    <w:r w:rsidR="004567A7">
      <w:rPr>
        <w:b/>
        <w:bCs/>
        <w:lang w:val="es-MX"/>
      </w:rPr>
      <w:t>_2023</w:t>
    </w:r>
  </w:p>
  <w:p w14:paraId="6C86E335" w14:textId="46A1D056" w:rsidR="00FC695F" w:rsidRDefault="00FC695F">
    <w:pPr>
      <w:pStyle w:val="Encabezado"/>
      <w:rPr>
        <w:lang w:val="es-MX"/>
      </w:rPr>
    </w:pPr>
    <w:r>
      <w:rPr>
        <w:lang w:val="es-MX"/>
      </w:rPr>
      <w:t xml:space="preserve">(Valores expresados en pesos </w:t>
    </w:r>
    <w:r w:rsidR="000D5497">
      <w:rPr>
        <w:lang w:val="es-MX"/>
      </w:rPr>
      <w:t>RD$/DOP$</w:t>
    </w:r>
    <w:r>
      <w:rPr>
        <w:lang w:val="es-MX"/>
      </w:rPr>
      <w:t>)</w:t>
    </w:r>
  </w:p>
  <w:p w14:paraId="0DC7580D" w14:textId="3FCDA212" w:rsidR="00FC695F" w:rsidRPr="00BB3271" w:rsidRDefault="000E54D7">
    <w:pPr>
      <w:pStyle w:val="Encabezado"/>
      <w:rPr>
        <w:lang w:val="es-MX"/>
      </w:rPr>
    </w:pPr>
    <w:r>
      <w:rPr>
        <w:noProof/>
        <w:lang w:val="es-MX"/>
      </w:rPr>
      <mc:AlternateContent>
        <mc:Choice Requires="wps">
          <w:drawing>
            <wp:anchor distT="0" distB="0" distL="114300" distR="114300" simplePos="0" relativeHeight="251658240" behindDoc="0" locked="0" layoutInCell="1" allowOverlap="1" wp14:anchorId="30C2A558" wp14:editId="3CFC8D83">
              <wp:simplePos x="0" y="0"/>
              <wp:positionH relativeFrom="column">
                <wp:posOffset>-9525</wp:posOffset>
              </wp:positionH>
              <wp:positionV relativeFrom="paragraph">
                <wp:posOffset>64770</wp:posOffset>
              </wp:positionV>
              <wp:extent cx="5924550" cy="9525"/>
              <wp:effectExtent l="0" t="0" r="0" b="9525"/>
              <wp:wrapNone/>
              <wp:docPr id="41727189"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952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8C875AE" id="_x0000_t32" coordsize="21600,21600" o:spt="32" o:oned="t" path="m,l21600,21600e" filled="f">
              <v:path arrowok="t" fillok="f" o:connecttype="none"/>
              <o:lock v:ext="edit" shapetype="t"/>
            </v:shapetype>
            <v:shape id="Conector recto de flecha 3" o:spid="_x0000_s1026" type="#_x0000_t32" style="position:absolute;margin-left:-.75pt;margin-top:5.1pt;width:466.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E9D8" w14:textId="0F3636AD" w:rsidR="00FC695F" w:rsidRPr="00BB3271" w:rsidRDefault="00461426">
    <w:pPr>
      <w:pStyle w:val="Encabezado"/>
      <w:rPr>
        <w:lang w:val="es-MX"/>
      </w:rPr>
    </w:pPr>
    <w:r>
      <w:rPr>
        <w:noProof/>
        <w:lang w:val="es-MX"/>
      </w:rPr>
      <w:drawing>
        <wp:inline distT="0" distB="0" distL="0" distR="0" wp14:anchorId="06BC8D94" wp14:editId="106F7DA8">
          <wp:extent cx="1544320" cy="574964"/>
          <wp:effectExtent l="0" t="0" r="0" b="0"/>
          <wp:docPr id="6806990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197" cy="5801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752"/>
    <w:multiLevelType w:val="multilevel"/>
    <w:tmpl w:val="29A2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3FB7"/>
    <w:multiLevelType w:val="hybridMultilevel"/>
    <w:tmpl w:val="14E4DD9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236D47B6"/>
    <w:multiLevelType w:val="multilevel"/>
    <w:tmpl w:val="9DB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575BA"/>
    <w:multiLevelType w:val="multilevel"/>
    <w:tmpl w:val="07CC9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604F21"/>
    <w:multiLevelType w:val="multilevel"/>
    <w:tmpl w:val="CF76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E0C85"/>
    <w:multiLevelType w:val="multilevel"/>
    <w:tmpl w:val="A650D4F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B9A1B1E"/>
    <w:multiLevelType w:val="multilevel"/>
    <w:tmpl w:val="F12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072937">
    <w:abstractNumId w:val="5"/>
  </w:num>
  <w:num w:numId="2" w16cid:durableId="879705789">
    <w:abstractNumId w:val="3"/>
  </w:num>
  <w:num w:numId="3" w16cid:durableId="1248466308">
    <w:abstractNumId w:val="1"/>
  </w:num>
  <w:num w:numId="4" w16cid:durableId="410465267">
    <w:abstractNumId w:val="2"/>
  </w:num>
  <w:num w:numId="5" w16cid:durableId="1573390835">
    <w:abstractNumId w:val="0"/>
  </w:num>
  <w:num w:numId="6" w16cid:durableId="824396584">
    <w:abstractNumId w:val="6"/>
  </w:num>
  <w:num w:numId="7" w16cid:durableId="18267067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56"/>
    <w:rsid w:val="000004CE"/>
    <w:rsid w:val="0000098D"/>
    <w:rsid w:val="0000126A"/>
    <w:rsid w:val="000013BF"/>
    <w:rsid w:val="0000151A"/>
    <w:rsid w:val="00001CA9"/>
    <w:rsid w:val="000022B3"/>
    <w:rsid w:val="00002A3A"/>
    <w:rsid w:val="00002B1A"/>
    <w:rsid w:val="00002C3E"/>
    <w:rsid w:val="000035C7"/>
    <w:rsid w:val="000039BF"/>
    <w:rsid w:val="0000429C"/>
    <w:rsid w:val="0000461F"/>
    <w:rsid w:val="00004EE4"/>
    <w:rsid w:val="0000642E"/>
    <w:rsid w:val="00006803"/>
    <w:rsid w:val="00007908"/>
    <w:rsid w:val="00007F2B"/>
    <w:rsid w:val="000100CE"/>
    <w:rsid w:val="0001071E"/>
    <w:rsid w:val="00010CC3"/>
    <w:rsid w:val="00011022"/>
    <w:rsid w:val="0001176E"/>
    <w:rsid w:val="0001214F"/>
    <w:rsid w:val="000122C5"/>
    <w:rsid w:val="000123AC"/>
    <w:rsid w:val="000128E7"/>
    <w:rsid w:val="00013241"/>
    <w:rsid w:val="00013634"/>
    <w:rsid w:val="00014123"/>
    <w:rsid w:val="000162CD"/>
    <w:rsid w:val="0001639C"/>
    <w:rsid w:val="00016ECE"/>
    <w:rsid w:val="000178C9"/>
    <w:rsid w:val="00017BE7"/>
    <w:rsid w:val="000219E0"/>
    <w:rsid w:val="000226CF"/>
    <w:rsid w:val="0002274A"/>
    <w:rsid w:val="00022CCC"/>
    <w:rsid w:val="00022ED6"/>
    <w:rsid w:val="000230DD"/>
    <w:rsid w:val="000241A7"/>
    <w:rsid w:val="00024396"/>
    <w:rsid w:val="00024CD4"/>
    <w:rsid w:val="00025584"/>
    <w:rsid w:val="00025623"/>
    <w:rsid w:val="00025CF7"/>
    <w:rsid w:val="00025D54"/>
    <w:rsid w:val="00026434"/>
    <w:rsid w:val="00026759"/>
    <w:rsid w:val="00026777"/>
    <w:rsid w:val="00026A92"/>
    <w:rsid w:val="00027150"/>
    <w:rsid w:val="000311FB"/>
    <w:rsid w:val="000320E2"/>
    <w:rsid w:val="000329A5"/>
    <w:rsid w:val="00032EAE"/>
    <w:rsid w:val="00033415"/>
    <w:rsid w:val="00033DC8"/>
    <w:rsid w:val="0003522C"/>
    <w:rsid w:val="000354B0"/>
    <w:rsid w:val="00035714"/>
    <w:rsid w:val="00035E9D"/>
    <w:rsid w:val="000360D3"/>
    <w:rsid w:val="000363A6"/>
    <w:rsid w:val="00036AD0"/>
    <w:rsid w:val="00036CD2"/>
    <w:rsid w:val="00036D6B"/>
    <w:rsid w:val="000373D2"/>
    <w:rsid w:val="000376FF"/>
    <w:rsid w:val="0004066B"/>
    <w:rsid w:val="00040A9D"/>
    <w:rsid w:val="00040AC6"/>
    <w:rsid w:val="000410E5"/>
    <w:rsid w:val="00041B5F"/>
    <w:rsid w:val="00042327"/>
    <w:rsid w:val="00042957"/>
    <w:rsid w:val="00042CC2"/>
    <w:rsid w:val="0004335B"/>
    <w:rsid w:val="00043574"/>
    <w:rsid w:val="00044094"/>
    <w:rsid w:val="00046020"/>
    <w:rsid w:val="000462A4"/>
    <w:rsid w:val="0004648C"/>
    <w:rsid w:val="00046914"/>
    <w:rsid w:val="00046CB2"/>
    <w:rsid w:val="00047047"/>
    <w:rsid w:val="000475FB"/>
    <w:rsid w:val="000479A0"/>
    <w:rsid w:val="00050093"/>
    <w:rsid w:val="000512A0"/>
    <w:rsid w:val="00051480"/>
    <w:rsid w:val="000517CB"/>
    <w:rsid w:val="00052102"/>
    <w:rsid w:val="000524CB"/>
    <w:rsid w:val="0005317B"/>
    <w:rsid w:val="00054371"/>
    <w:rsid w:val="000543B3"/>
    <w:rsid w:val="000546B5"/>
    <w:rsid w:val="0005487B"/>
    <w:rsid w:val="00055068"/>
    <w:rsid w:val="0005508B"/>
    <w:rsid w:val="000552EC"/>
    <w:rsid w:val="0005601D"/>
    <w:rsid w:val="000569BD"/>
    <w:rsid w:val="00057171"/>
    <w:rsid w:val="00060256"/>
    <w:rsid w:val="00060525"/>
    <w:rsid w:val="00060FC6"/>
    <w:rsid w:val="0006121C"/>
    <w:rsid w:val="00061715"/>
    <w:rsid w:val="00061763"/>
    <w:rsid w:val="0006177E"/>
    <w:rsid w:val="00061975"/>
    <w:rsid w:val="0006222A"/>
    <w:rsid w:val="00062A2D"/>
    <w:rsid w:val="00062B0D"/>
    <w:rsid w:val="00063199"/>
    <w:rsid w:val="00063361"/>
    <w:rsid w:val="000633C7"/>
    <w:rsid w:val="00063433"/>
    <w:rsid w:val="0006369B"/>
    <w:rsid w:val="000637E7"/>
    <w:rsid w:val="00063B46"/>
    <w:rsid w:val="00063EF5"/>
    <w:rsid w:val="0006445E"/>
    <w:rsid w:val="000647C7"/>
    <w:rsid w:val="0006508C"/>
    <w:rsid w:val="00065293"/>
    <w:rsid w:val="00065349"/>
    <w:rsid w:val="000661ED"/>
    <w:rsid w:val="00066229"/>
    <w:rsid w:val="00066309"/>
    <w:rsid w:val="00066527"/>
    <w:rsid w:val="000667EA"/>
    <w:rsid w:val="00066DED"/>
    <w:rsid w:val="00066FE8"/>
    <w:rsid w:val="00067225"/>
    <w:rsid w:val="00067713"/>
    <w:rsid w:val="00067DA8"/>
    <w:rsid w:val="0007015D"/>
    <w:rsid w:val="00070787"/>
    <w:rsid w:val="00070B68"/>
    <w:rsid w:val="00070C0B"/>
    <w:rsid w:val="00071860"/>
    <w:rsid w:val="00073274"/>
    <w:rsid w:val="00073925"/>
    <w:rsid w:val="00073E30"/>
    <w:rsid w:val="00074033"/>
    <w:rsid w:val="000743AD"/>
    <w:rsid w:val="00074764"/>
    <w:rsid w:val="00075191"/>
    <w:rsid w:val="0007556F"/>
    <w:rsid w:val="00075888"/>
    <w:rsid w:val="00075D02"/>
    <w:rsid w:val="00076163"/>
    <w:rsid w:val="00076C7A"/>
    <w:rsid w:val="00076FA9"/>
    <w:rsid w:val="0007787C"/>
    <w:rsid w:val="0007789F"/>
    <w:rsid w:val="0008074A"/>
    <w:rsid w:val="00081A82"/>
    <w:rsid w:val="000835F5"/>
    <w:rsid w:val="0008385C"/>
    <w:rsid w:val="00083CDE"/>
    <w:rsid w:val="00083E8E"/>
    <w:rsid w:val="00084091"/>
    <w:rsid w:val="0008461B"/>
    <w:rsid w:val="00084709"/>
    <w:rsid w:val="00084CBB"/>
    <w:rsid w:val="00085B65"/>
    <w:rsid w:val="000860B9"/>
    <w:rsid w:val="000864C3"/>
    <w:rsid w:val="0008666E"/>
    <w:rsid w:val="00086C45"/>
    <w:rsid w:val="00086E23"/>
    <w:rsid w:val="0008784C"/>
    <w:rsid w:val="00087FF1"/>
    <w:rsid w:val="00090768"/>
    <w:rsid w:val="00090B60"/>
    <w:rsid w:val="000910D2"/>
    <w:rsid w:val="000915C7"/>
    <w:rsid w:val="000921F2"/>
    <w:rsid w:val="000925EE"/>
    <w:rsid w:val="00092CF2"/>
    <w:rsid w:val="00092FC8"/>
    <w:rsid w:val="00093254"/>
    <w:rsid w:val="000932A6"/>
    <w:rsid w:val="000936C1"/>
    <w:rsid w:val="00093837"/>
    <w:rsid w:val="00093AB9"/>
    <w:rsid w:val="000944C4"/>
    <w:rsid w:val="00095B71"/>
    <w:rsid w:val="00095F53"/>
    <w:rsid w:val="0009671B"/>
    <w:rsid w:val="00096CE0"/>
    <w:rsid w:val="00096DA6"/>
    <w:rsid w:val="00096DF8"/>
    <w:rsid w:val="0009700C"/>
    <w:rsid w:val="00097075"/>
    <w:rsid w:val="000979D8"/>
    <w:rsid w:val="00097A4C"/>
    <w:rsid w:val="000A06E3"/>
    <w:rsid w:val="000A07A8"/>
    <w:rsid w:val="000A0863"/>
    <w:rsid w:val="000A099C"/>
    <w:rsid w:val="000A0ECA"/>
    <w:rsid w:val="000A141E"/>
    <w:rsid w:val="000A1603"/>
    <w:rsid w:val="000A1638"/>
    <w:rsid w:val="000A1F23"/>
    <w:rsid w:val="000A24F0"/>
    <w:rsid w:val="000A484B"/>
    <w:rsid w:val="000A4B4C"/>
    <w:rsid w:val="000A5907"/>
    <w:rsid w:val="000A60D9"/>
    <w:rsid w:val="000A621B"/>
    <w:rsid w:val="000A7017"/>
    <w:rsid w:val="000A7B86"/>
    <w:rsid w:val="000A7CD6"/>
    <w:rsid w:val="000B014E"/>
    <w:rsid w:val="000B04CA"/>
    <w:rsid w:val="000B0BEA"/>
    <w:rsid w:val="000B0E22"/>
    <w:rsid w:val="000B0ED7"/>
    <w:rsid w:val="000B1443"/>
    <w:rsid w:val="000B167C"/>
    <w:rsid w:val="000B1FDF"/>
    <w:rsid w:val="000B22C0"/>
    <w:rsid w:val="000B2306"/>
    <w:rsid w:val="000B27C9"/>
    <w:rsid w:val="000B2E00"/>
    <w:rsid w:val="000B303C"/>
    <w:rsid w:val="000B3363"/>
    <w:rsid w:val="000B3FC5"/>
    <w:rsid w:val="000B420E"/>
    <w:rsid w:val="000B4DC4"/>
    <w:rsid w:val="000B552D"/>
    <w:rsid w:val="000B56F7"/>
    <w:rsid w:val="000B5929"/>
    <w:rsid w:val="000B65E9"/>
    <w:rsid w:val="000B6649"/>
    <w:rsid w:val="000B6C80"/>
    <w:rsid w:val="000B6F08"/>
    <w:rsid w:val="000B74DD"/>
    <w:rsid w:val="000B7634"/>
    <w:rsid w:val="000B7A74"/>
    <w:rsid w:val="000B7C16"/>
    <w:rsid w:val="000B7C88"/>
    <w:rsid w:val="000B7DEF"/>
    <w:rsid w:val="000B7E2A"/>
    <w:rsid w:val="000B7F68"/>
    <w:rsid w:val="000B7FC0"/>
    <w:rsid w:val="000C087D"/>
    <w:rsid w:val="000C0D61"/>
    <w:rsid w:val="000C10FC"/>
    <w:rsid w:val="000C1229"/>
    <w:rsid w:val="000C1DD9"/>
    <w:rsid w:val="000C23C8"/>
    <w:rsid w:val="000C28F1"/>
    <w:rsid w:val="000C3083"/>
    <w:rsid w:val="000C3908"/>
    <w:rsid w:val="000C3B01"/>
    <w:rsid w:val="000C4148"/>
    <w:rsid w:val="000C4655"/>
    <w:rsid w:val="000C46C5"/>
    <w:rsid w:val="000C4F6B"/>
    <w:rsid w:val="000C5152"/>
    <w:rsid w:val="000C6EE5"/>
    <w:rsid w:val="000C6FAF"/>
    <w:rsid w:val="000C7008"/>
    <w:rsid w:val="000C77BB"/>
    <w:rsid w:val="000C78C8"/>
    <w:rsid w:val="000C7C57"/>
    <w:rsid w:val="000D1026"/>
    <w:rsid w:val="000D1463"/>
    <w:rsid w:val="000D20ED"/>
    <w:rsid w:val="000D2153"/>
    <w:rsid w:val="000D2414"/>
    <w:rsid w:val="000D25AF"/>
    <w:rsid w:val="000D26D2"/>
    <w:rsid w:val="000D26F9"/>
    <w:rsid w:val="000D2710"/>
    <w:rsid w:val="000D2DCA"/>
    <w:rsid w:val="000D2DFA"/>
    <w:rsid w:val="000D2F23"/>
    <w:rsid w:val="000D382F"/>
    <w:rsid w:val="000D4FA3"/>
    <w:rsid w:val="000D51B2"/>
    <w:rsid w:val="000D52EF"/>
    <w:rsid w:val="000D53CE"/>
    <w:rsid w:val="000D547A"/>
    <w:rsid w:val="000D5497"/>
    <w:rsid w:val="000D54C8"/>
    <w:rsid w:val="000D561F"/>
    <w:rsid w:val="000D5CE3"/>
    <w:rsid w:val="000D5ED6"/>
    <w:rsid w:val="000D5FD2"/>
    <w:rsid w:val="000D6589"/>
    <w:rsid w:val="000D6712"/>
    <w:rsid w:val="000D6A29"/>
    <w:rsid w:val="000D6CD8"/>
    <w:rsid w:val="000D78C5"/>
    <w:rsid w:val="000D7A87"/>
    <w:rsid w:val="000D7C28"/>
    <w:rsid w:val="000E00D3"/>
    <w:rsid w:val="000E0DA1"/>
    <w:rsid w:val="000E0F23"/>
    <w:rsid w:val="000E182C"/>
    <w:rsid w:val="000E19AF"/>
    <w:rsid w:val="000E241C"/>
    <w:rsid w:val="000E28F9"/>
    <w:rsid w:val="000E2B7A"/>
    <w:rsid w:val="000E34A4"/>
    <w:rsid w:val="000E37CE"/>
    <w:rsid w:val="000E48F3"/>
    <w:rsid w:val="000E4A0D"/>
    <w:rsid w:val="000E54D7"/>
    <w:rsid w:val="000E5FF7"/>
    <w:rsid w:val="000E606B"/>
    <w:rsid w:val="000E6207"/>
    <w:rsid w:val="000E68DE"/>
    <w:rsid w:val="000E70C5"/>
    <w:rsid w:val="000F00E9"/>
    <w:rsid w:val="000F0202"/>
    <w:rsid w:val="000F25C0"/>
    <w:rsid w:val="000F2CEF"/>
    <w:rsid w:val="000F2EE1"/>
    <w:rsid w:val="000F31EB"/>
    <w:rsid w:val="000F3756"/>
    <w:rsid w:val="000F4475"/>
    <w:rsid w:val="000F4FE8"/>
    <w:rsid w:val="000F6398"/>
    <w:rsid w:val="000F676D"/>
    <w:rsid w:val="000F6FC9"/>
    <w:rsid w:val="000F7808"/>
    <w:rsid w:val="000F7C90"/>
    <w:rsid w:val="000F7D08"/>
    <w:rsid w:val="000F7D83"/>
    <w:rsid w:val="00100489"/>
    <w:rsid w:val="00100717"/>
    <w:rsid w:val="0010072B"/>
    <w:rsid w:val="00100ED1"/>
    <w:rsid w:val="00101746"/>
    <w:rsid w:val="00101952"/>
    <w:rsid w:val="00101A3A"/>
    <w:rsid w:val="00101CE6"/>
    <w:rsid w:val="00101EE3"/>
    <w:rsid w:val="00101F38"/>
    <w:rsid w:val="0010242E"/>
    <w:rsid w:val="0010279B"/>
    <w:rsid w:val="001031F3"/>
    <w:rsid w:val="0010330F"/>
    <w:rsid w:val="001039C4"/>
    <w:rsid w:val="00103A35"/>
    <w:rsid w:val="00104D79"/>
    <w:rsid w:val="00104EEA"/>
    <w:rsid w:val="0010539B"/>
    <w:rsid w:val="001054E0"/>
    <w:rsid w:val="0010557B"/>
    <w:rsid w:val="00106389"/>
    <w:rsid w:val="001067B0"/>
    <w:rsid w:val="001072A3"/>
    <w:rsid w:val="001100C5"/>
    <w:rsid w:val="0011094C"/>
    <w:rsid w:val="00110D58"/>
    <w:rsid w:val="00110D6C"/>
    <w:rsid w:val="00110EF8"/>
    <w:rsid w:val="00111054"/>
    <w:rsid w:val="001112D4"/>
    <w:rsid w:val="00111A43"/>
    <w:rsid w:val="00112C8B"/>
    <w:rsid w:val="001130EE"/>
    <w:rsid w:val="001145EE"/>
    <w:rsid w:val="001147A6"/>
    <w:rsid w:val="00114E0C"/>
    <w:rsid w:val="00115CB9"/>
    <w:rsid w:val="00116365"/>
    <w:rsid w:val="00116A58"/>
    <w:rsid w:val="001179A4"/>
    <w:rsid w:val="00120734"/>
    <w:rsid w:val="001208E8"/>
    <w:rsid w:val="00120B0A"/>
    <w:rsid w:val="00121549"/>
    <w:rsid w:val="001216D2"/>
    <w:rsid w:val="00121D29"/>
    <w:rsid w:val="00121F49"/>
    <w:rsid w:val="001228BF"/>
    <w:rsid w:val="00122A08"/>
    <w:rsid w:val="00122F37"/>
    <w:rsid w:val="00122FD8"/>
    <w:rsid w:val="00123EE0"/>
    <w:rsid w:val="00124ADE"/>
    <w:rsid w:val="00124E81"/>
    <w:rsid w:val="00124F50"/>
    <w:rsid w:val="001256DD"/>
    <w:rsid w:val="0012608D"/>
    <w:rsid w:val="001266EA"/>
    <w:rsid w:val="0012738E"/>
    <w:rsid w:val="00127F14"/>
    <w:rsid w:val="00127F4E"/>
    <w:rsid w:val="00130131"/>
    <w:rsid w:val="001308DE"/>
    <w:rsid w:val="00130BB3"/>
    <w:rsid w:val="00130C73"/>
    <w:rsid w:val="00131396"/>
    <w:rsid w:val="001315AA"/>
    <w:rsid w:val="00131A8E"/>
    <w:rsid w:val="00131B01"/>
    <w:rsid w:val="00131DF3"/>
    <w:rsid w:val="00132A80"/>
    <w:rsid w:val="00132CED"/>
    <w:rsid w:val="00132E28"/>
    <w:rsid w:val="00134896"/>
    <w:rsid w:val="00135906"/>
    <w:rsid w:val="00136A58"/>
    <w:rsid w:val="00137A2C"/>
    <w:rsid w:val="00137A9C"/>
    <w:rsid w:val="00137D42"/>
    <w:rsid w:val="00141592"/>
    <w:rsid w:val="001419A4"/>
    <w:rsid w:val="0014221B"/>
    <w:rsid w:val="00144433"/>
    <w:rsid w:val="0014504F"/>
    <w:rsid w:val="0014538C"/>
    <w:rsid w:val="00145BD4"/>
    <w:rsid w:val="00146175"/>
    <w:rsid w:val="00146800"/>
    <w:rsid w:val="00146FB5"/>
    <w:rsid w:val="00147016"/>
    <w:rsid w:val="00147665"/>
    <w:rsid w:val="001476AE"/>
    <w:rsid w:val="00147704"/>
    <w:rsid w:val="001478BA"/>
    <w:rsid w:val="00147964"/>
    <w:rsid w:val="00150831"/>
    <w:rsid w:val="00150EC2"/>
    <w:rsid w:val="00151222"/>
    <w:rsid w:val="00151242"/>
    <w:rsid w:val="001517F3"/>
    <w:rsid w:val="00151D37"/>
    <w:rsid w:val="00152F8B"/>
    <w:rsid w:val="0015364B"/>
    <w:rsid w:val="00153D8C"/>
    <w:rsid w:val="00154476"/>
    <w:rsid w:val="00154540"/>
    <w:rsid w:val="00154560"/>
    <w:rsid w:val="001545EC"/>
    <w:rsid w:val="00155049"/>
    <w:rsid w:val="00155254"/>
    <w:rsid w:val="0015526A"/>
    <w:rsid w:val="00155D8D"/>
    <w:rsid w:val="0015639D"/>
    <w:rsid w:val="00156706"/>
    <w:rsid w:val="0015684D"/>
    <w:rsid w:val="001569E5"/>
    <w:rsid w:val="00157911"/>
    <w:rsid w:val="001600FE"/>
    <w:rsid w:val="00160338"/>
    <w:rsid w:val="00160B41"/>
    <w:rsid w:val="0016110F"/>
    <w:rsid w:val="0016157F"/>
    <w:rsid w:val="00161BA9"/>
    <w:rsid w:val="0016377F"/>
    <w:rsid w:val="00164210"/>
    <w:rsid w:val="00164234"/>
    <w:rsid w:val="001650A8"/>
    <w:rsid w:val="0016558C"/>
    <w:rsid w:val="00165E22"/>
    <w:rsid w:val="0016605B"/>
    <w:rsid w:val="00166746"/>
    <w:rsid w:val="00167119"/>
    <w:rsid w:val="001672FC"/>
    <w:rsid w:val="001674A3"/>
    <w:rsid w:val="00167AD7"/>
    <w:rsid w:val="00167DA9"/>
    <w:rsid w:val="00170008"/>
    <w:rsid w:val="0017098F"/>
    <w:rsid w:val="00170EEA"/>
    <w:rsid w:val="00170F99"/>
    <w:rsid w:val="00171801"/>
    <w:rsid w:val="00172123"/>
    <w:rsid w:val="00172970"/>
    <w:rsid w:val="00172F80"/>
    <w:rsid w:val="00173CD4"/>
    <w:rsid w:val="0017536C"/>
    <w:rsid w:val="0017588A"/>
    <w:rsid w:val="00175E18"/>
    <w:rsid w:val="00176BD8"/>
    <w:rsid w:val="00177A93"/>
    <w:rsid w:val="00177D27"/>
    <w:rsid w:val="00180AC4"/>
    <w:rsid w:val="00181BE1"/>
    <w:rsid w:val="00181C91"/>
    <w:rsid w:val="00181D26"/>
    <w:rsid w:val="00182954"/>
    <w:rsid w:val="00182E60"/>
    <w:rsid w:val="00182EEA"/>
    <w:rsid w:val="00183319"/>
    <w:rsid w:val="001839CC"/>
    <w:rsid w:val="00183BB2"/>
    <w:rsid w:val="00183C88"/>
    <w:rsid w:val="0018435E"/>
    <w:rsid w:val="0018446E"/>
    <w:rsid w:val="00185196"/>
    <w:rsid w:val="00185363"/>
    <w:rsid w:val="0018594A"/>
    <w:rsid w:val="00190329"/>
    <w:rsid w:val="00190C93"/>
    <w:rsid w:val="001912A1"/>
    <w:rsid w:val="00191960"/>
    <w:rsid w:val="001926B7"/>
    <w:rsid w:val="001926FA"/>
    <w:rsid w:val="00192923"/>
    <w:rsid w:val="00193196"/>
    <w:rsid w:val="0019336A"/>
    <w:rsid w:val="00193449"/>
    <w:rsid w:val="00193601"/>
    <w:rsid w:val="0019371A"/>
    <w:rsid w:val="001938FC"/>
    <w:rsid w:val="00193E7B"/>
    <w:rsid w:val="001943FB"/>
    <w:rsid w:val="00194B33"/>
    <w:rsid w:val="00194CE4"/>
    <w:rsid w:val="00195CF2"/>
    <w:rsid w:val="00196655"/>
    <w:rsid w:val="00197018"/>
    <w:rsid w:val="001970F7"/>
    <w:rsid w:val="00197909"/>
    <w:rsid w:val="001A0C25"/>
    <w:rsid w:val="001A11FB"/>
    <w:rsid w:val="001A159D"/>
    <w:rsid w:val="001A1D86"/>
    <w:rsid w:val="001A1EE2"/>
    <w:rsid w:val="001A2653"/>
    <w:rsid w:val="001A322D"/>
    <w:rsid w:val="001A39D2"/>
    <w:rsid w:val="001A39FA"/>
    <w:rsid w:val="001A3FD8"/>
    <w:rsid w:val="001A41EA"/>
    <w:rsid w:val="001A4453"/>
    <w:rsid w:val="001A5D4E"/>
    <w:rsid w:val="001A5F1F"/>
    <w:rsid w:val="001A6C45"/>
    <w:rsid w:val="001A783C"/>
    <w:rsid w:val="001A7D5A"/>
    <w:rsid w:val="001B03FD"/>
    <w:rsid w:val="001B09B5"/>
    <w:rsid w:val="001B0B1F"/>
    <w:rsid w:val="001B1077"/>
    <w:rsid w:val="001B10B8"/>
    <w:rsid w:val="001B14D8"/>
    <w:rsid w:val="001B1A72"/>
    <w:rsid w:val="001B1BD0"/>
    <w:rsid w:val="001B1E2E"/>
    <w:rsid w:val="001B202B"/>
    <w:rsid w:val="001B22E5"/>
    <w:rsid w:val="001B2E36"/>
    <w:rsid w:val="001B341C"/>
    <w:rsid w:val="001B3EEC"/>
    <w:rsid w:val="001B4113"/>
    <w:rsid w:val="001B418B"/>
    <w:rsid w:val="001B43F3"/>
    <w:rsid w:val="001B4746"/>
    <w:rsid w:val="001B4C8B"/>
    <w:rsid w:val="001B4CBD"/>
    <w:rsid w:val="001B5005"/>
    <w:rsid w:val="001B5381"/>
    <w:rsid w:val="001B6097"/>
    <w:rsid w:val="001B610A"/>
    <w:rsid w:val="001B6ED9"/>
    <w:rsid w:val="001B7770"/>
    <w:rsid w:val="001B7A58"/>
    <w:rsid w:val="001B7FC1"/>
    <w:rsid w:val="001C0D34"/>
    <w:rsid w:val="001C189C"/>
    <w:rsid w:val="001C1BBD"/>
    <w:rsid w:val="001C2274"/>
    <w:rsid w:val="001C245F"/>
    <w:rsid w:val="001C25AE"/>
    <w:rsid w:val="001C2CAA"/>
    <w:rsid w:val="001C310C"/>
    <w:rsid w:val="001C3412"/>
    <w:rsid w:val="001C35F3"/>
    <w:rsid w:val="001C38D9"/>
    <w:rsid w:val="001C417E"/>
    <w:rsid w:val="001C4192"/>
    <w:rsid w:val="001C524D"/>
    <w:rsid w:val="001C5385"/>
    <w:rsid w:val="001C57CE"/>
    <w:rsid w:val="001C6EC0"/>
    <w:rsid w:val="001C6F06"/>
    <w:rsid w:val="001C71B1"/>
    <w:rsid w:val="001C742A"/>
    <w:rsid w:val="001C74B0"/>
    <w:rsid w:val="001C77B8"/>
    <w:rsid w:val="001C7AC5"/>
    <w:rsid w:val="001D07B4"/>
    <w:rsid w:val="001D09FE"/>
    <w:rsid w:val="001D1C43"/>
    <w:rsid w:val="001D22DF"/>
    <w:rsid w:val="001D266D"/>
    <w:rsid w:val="001D334C"/>
    <w:rsid w:val="001D36F8"/>
    <w:rsid w:val="001D3867"/>
    <w:rsid w:val="001D3A60"/>
    <w:rsid w:val="001D4AB5"/>
    <w:rsid w:val="001D4DD1"/>
    <w:rsid w:val="001D4FA4"/>
    <w:rsid w:val="001D52DE"/>
    <w:rsid w:val="001D53A5"/>
    <w:rsid w:val="001D5C2A"/>
    <w:rsid w:val="001D5E97"/>
    <w:rsid w:val="001D6035"/>
    <w:rsid w:val="001D6555"/>
    <w:rsid w:val="001D6861"/>
    <w:rsid w:val="001D6BFC"/>
    <w:rsid w:val="001D6FE5"/>
    <w:rsid w:val="001E0481"/>
    <w:rsid w:val="001E1130"/>
    <w:rsid w:val="001E11D3"/>
    <w:rsid w:val="001E1C37"/>
    <w:rsid w:val="001E1D7A"/>
    <w:rsid w:val="001E2069"/>
    <w:rsid w:val="001E24B6"/>
    <w:rsid w:val="001E2571"/>
    <w:rsid w:val="001E2A97"/>
    <w:rsid w:val="001E2AA1"/>
    <w:rsid w:val="001E32F9"/>
    <w:rsid w:val="001E3314"/>
    <w:rsid w:val="001E35D9"/>
    <w:rsid w:val="001E3985"/>
    <w:rsid w:val="001E3B9E"/>
    <w:rsid w:val="001E4268"/>
    <w:rsid w:val="001E44E1"/>
    <w:rsid w:val="001E4553"/>
    <w:rsid w:val="001E4A53"/>
    <w:rsid w:val="001E4BBF"/>
    <w:rsid w:val="001E4F05"/>
    <w:rsid w:val="001E58E0"/>
    <w:rsid w:val="001E5E1C"/>
    <w:rsid w:val="001E6706"/>
    <w:rsid w:val="001E7845"/>
    <w:rsid w:val="001E79C1"/>
    <w:rsid w:val="001E7CCA"/>
    <w:rsid w:val="001E7F87"/>
    <w:rsid w:val="001F04CA"/>
    <w:rsid w:val="001F0A76"/>
    <w:rsid w:val="001F0CDA"/>
    <w:rsid w:val="001F1830"/>
    <w:rsid w:val="001F1935"/>
    <w:rsid w:val="001F1E01"/>
    <w:rsid w:val="001F1EAC"/>
    <w:rsid w:val="001F200E"/>
    <w:rsid w:val="001F20D0"/>
    <w:rsid w:val="001F28F1"/>
    <w:rsid w:val="001F32E7"/>
    <w:rsid w:val="001F3CBA"/>
    <w:rsid w:val="001F3E80"/>
    <w:rsid w:val="001F47CF"/>
    <w:rsid w:val="001F4FCB"/>
    <w:rsid w:val="001F5485"/>
    <w:rsid w:val="001F5928"/>
    <w:rsid w:val="001F5ABC"/>
    <w:rsid w:val="001F6ECB"/>
    <w:rsid w:val="001F7215"/>
    <w:rsid w:val="001F7EBE"/>
    <w:rsid w:val="0020008A"/>
    <w:rsid w:val="00200962"/>
    <w:rsid w:val="0020152C"/>
    <w:rsid w:val="00202A36"/>
    <w:rsid w:val="00202B69"/>
    <w:rsid w:val="00202BE4"/>
    <w:rsid w:val="00202D57"/>
    <w:rsid w:val="00203AF2"/>
    <w:rsid w:val="00204108"/>
    <w:rsid w:val="002047CB"/>
    <w:rsid w:val="00204E23"/>
    <w:rsid w:val="00204FC7"/>
    <w:rsid w:val="00205742"/>
    <w:rsid w:val="00206641"/>
    <w:rsid w:val="00206674"/>
    <w:rsid w:val="00206EBE"/>
    <w:rsid w:val="00207D7C"/>
    <w:rsid w:val="00210C31"/>
    <w:rsid w:val="00210FEC"/>
    <w:rsid w:val="00211954"/>
    <w:rsid w:val="002119E4"/>
    <w:rsid w:val="00211AF5"/>
    <w:rsid w:val="0021236D"/>
    <w:rsid w:val="00212507"/>
    <w:rsid w:val="00212688"/>
    <w:rsid w:val="0021277F"/>
    <w:rsid w:val="00212BFB"/>
    <w:rsid w:val="0021321A"/>
    <w:rsid w:val="00213231"/>
    <w:rsid w:val="002136D5"/>
    <w:rsid w:val="00214C60"/>
    <w:rsid w:val="00214FF8"/>
    <w:rsid w:val="00215AC0"/>
    <w:rsid w:val="00216110"/>
    <w:rsid w:val="00216180"/>
    <w:rsid w:val="00216226"/>
    <w:rsid w:val="0021661B"/>
    <w:rsid w:val="00216E1F"/>
    <w:rsid w:val="00217427"/>
    <w:rsid w:val="00217BB1"/>
    <w:rsid w:val="00217E93"/>
    <w:rsid w:val="002203E4"/>
    <w:rsid w:val="00222543"/>
    <w:rsid w:val="002229B3"/>
    <w:rsid w:val="00222F22"/>
    <w:rsid w:val="00224944"/>
    <w:rsid w:val="00224AB6"/>
    <w:rsid w:val="00224B11"/>
    <w:rsid w:val="002254F7"/>
    <w:rsid w:val="00225992"/>
    <w:rsid w:val="00225E24"/>
    <w:rsid w:val="00225F3E"/>
    <w:rsid w:val="00226827"/>
    <w:rsid w:val="00226E10"/>
    <w:rsid w:val="002273B6"/>
    <w:rsid w:val="00227B8D"/>
    <w:rsid w:val="00227BC9"/>
    <w:rsid w:val="002304BE"/>
    <w:rsid w:val="00230B09"/>
    <w:rsid w:val="00230FAC"/>
    <w:rsid w:val="00231DB4"/>
    <w:rsid w:val="00231DB6"/>
    <w:rsid w:val="00231DEC"/>
    <w:rsid w:val="002322BA"/>
    <w:rsid w:val="00232506"/>
    <w:rsid w:val="00232756"/>
    <w:rsid w:val="00233B23"/>
    <w:rsid w:val="00233B72"/>
    <w:rsid w:val="00234CF6"/>
    <w:rsid w:val="002353C7"/>
    <w:rsid w:val="00236A76"/>
    <w:rsid w:val="00236D4C"/>
    <w:rsid w:val="00236D59"/>
    <w:rsid w:val="0023713B"/>
    <w:rsid w:val="002373D4"/>
    <w:rsid w:val="002378CA"/>
    <w:rsid w:val="00237EE6"/>
    <w:rsid w:val="0024001A"/>
    <w:rsid w:val="00240CC1"/>
    <w:rsid w:val="002421D1"/>
    <w:rsid w:val="002422E0"/>
    <w:rsid w:val="002426A4"/>
    <w:rsid w:val="002426F9"/>
    <w:rsid w:val="00242A3B"/>
    <w:rsid w:val="00242F64"/>
    <w:rsid w:val="00243093"/>
    <w:rsid w:val="00243311"/>
    <w:rsid w:val="00243CB8"/>
    <w:rsid w:val="00244236"/>
    <w:rsid w:val="00244276"/>
    <w:rsid w:val="002443BF"/>
    <w:rsid w:val="00244574"/>
    <w:rsid w:val="002459C2"/>
    <w:rsid w:val="00245D8E"/>
    <w:rsid w:val="002464C8"/>
    <w:rsid w:val="00246A96"/>
    <w:rsid w:val="00246BB6"/>
    <w:rsid w:val="0024708A"/>
    <w:rsid w:val="002473C7"/>
    <w:rsid w:val="00247EF9"/>
    <w:rsid w:val="002501DF"/>
    <w:rsid w:val="00250A84"/>
    <w:rsid w:val="00251D81"/>
    <w:rsid w:val="0025261F"/>
    <w:rsid w:val="002527A2"/>
    <w:rsid w:val="00252F8B"/>
    <w:rsid w:val="00253A83"/>
    <w:rsid w:val="0025409C"/>
    <w:rsid w:val="00254313"/>
    <w:rsid w:val="002543BF"/>
    <w:rsid w:val="00254FB8"/>
    <w:rsid w:val="00255965"/>
    <w:rsid w:val="00255F41"/>
    <w:rsid w:val="002563AF"/>
    <w:rsid w:val="00257700"/>
    <w:rsid w:val="00257A4A"/>
    <w:rsid w:val="00261262"/>
    <w:rsid w:val="002612E3"/>
    <w:rsid w:val="00261455"/>
    <w:rsid w:val="00262789"/>
    <w:rsid w:val="0026296D"/>
    <w:rsid w:val="002630AB"/>
    <w:rsid w:val="00263702"/>
    <w:rsid w:val="00264472"/>
    <w:rsid w:val="002649B5"/>
    <w:rsid w:val="0026531C"/>
    <w:rsid w:val="00265BCE"/>
    <w:rsid w:val="002666BD"/>
    <w:rsid w:val="0026672E"/>
    <w:rsid w:val="0026673D"/>
    <w:rsid w:val="00266B0F"/>
    <w:rsid w:val="00266F4E"/>
    <w:rsid w:val="00267128"/>
    <w:rsid w:val="00267571"/>
    <w:rsid w:val="00267B60"/>
    <w:rsid w:val="00267F39"/>
    <w:rsid w:val="00270EC4"/>
    <w:rsid w:val="002712E5"/>
    <w:rsid w:val="0027224D"/>
    <w:rsid w:val="00272972"/>
    <w:rsid w:val="0027300C"/>
    <w:rsid w:val="00273472"/>
    <w:rsid w:val="002735EF"/>
    <w:rsid w:val="00273BA8"/>
    <w:rsid w:val="00274C45"/>
    <w:rsid w:val="002771AD"/>
    <w:rsid w:val="002773B3"/>
    <w:rsid w:val="002777F7"/>
    <w:rsid w:val="002779F9"/>
    <w:rsid w:val="00277D0C"/>
    <w:rsid w:val="002805A1"/>
    <w:rsid w:val="00282968"/>
    <w:rsid w:val="00282A72"/>
    <w:rsid w:val="00282EAB"/>
    <w:rsid w:val="00282EB1"/>
    <w:rsid w:val="0028315C"/>
    <w:rsid w:val="00283561"/>
    <w:rsid w:val="00283B35"/>
    <w:rsid w:val="00285166"/>
    <w:rsid w:val="00285CD8"/>
    <w:rsid w:val="00285DB7"/>
    <w:rsid w:val="00285F0F"/>
    <w:rsid w:val="00286A84"/>
    <w:rsid w:val="00286C76"/>
    <w:rsid w:val="00286CD5"/>
    <w:rsid w:val="00286DEA"/>
    <w:rsid w:val="00286F30"/>
    <w:rsid w:val="00287157"/>
    <w:rsid w:val="00287183"/>
    <w:rsid w:val="00287A03"/>
    <w:rsid w:val="00287B11"/>
    <w:rsid w:val="00287F54"/>
    <w:rsid w:val="0029050B"/>
    <w:rsid w:val="0029073D"/>
    <w:rsid w:val="00291132"/>
    <w:rsid w:val="002916F9"/>
    <w:rsid w:val="002918B7"/>
    <w:rsid w:val="002919CC"/>
    <w:rsid w:val="002926B6"/>
    <w:rsid w:val="00293F4C"/>
    <w:rsid w:val="00294256"/>
    <w:rsid w:val="00295E35"/>
    <w:rsid w:val="002960A8"/>
    <w:rsid w:val="0029623A"/>
    <w:rsid w:val="0029668E"/>
    <w:rsid w:val="00296692"/>
    <w:rsid w:val="00297248"/>
    <w:rsid w:val="00297694"/>
    <w:rsid w:val="00297782"/>
    <w:rsid w:val="00297B4A"/>
    <w:rsid w:val="00297F9B"/>
    <w:rsid w:val="002A05D4"/>
    <w:rsid w:val="002A0BB3"/>
    <w:rsid w:val="002A0CC3"/>
    <w:rsid w:val="002A1130"/>
    <w:rsid w:val="002A1B62"/>
    <w:rsid w:val="002A1DEC"/>
    <w:rsid w:val="002A2B67"/>
    <w:rsid w:val="002A33CB"/>
    <w:rsid w:val="002A3600"/>
    <w:rsid w:val="002A42D7"/>
    <w:rsid w:val="002A4428"/>
    <w:rsid w:val="002A4492"/>
    <w:rsid w:val="002A4635"/>
    <w:rsid w:val="002A46A0"/>
    <w:rsid w:val="002A4B35"/>
    <w:rsid w:val="002A4F5A"/>
    <w:rsid w:val="002A630C"/>
    <w:rsid w:val="002A6819"/>
    <w:rsid w:val="002A73D4"/>
    <w:rsid w:val="002A78AB"/>
    <w:rsid w:val="002A79BD"/>
    <w:rsid w:val="002A7FCD"/>
    <w:rsid w:val="002B003F"/>
    <w:rsid w:val="002B04E8"/>
    <w:rsid w:val="002B0625"/>
    <w:rsid w:val="002B0DA1"/>
    <w:rsid w:val="002B1773"/>
    <w:rsid w:val="002B1953"/>
    <w:rsid w:val="002B1997"/>
    <w:rsid w:val="002B19EA"/>
    <w:rsid w:val="002B25F1"/>
    <w:rsid w:val="002B2656"/>
    <w:rsid w:val="002B2C50"/>
    <w:rsid w:val="002B2F4F"/>
    <w:rsid w:val="002B3249"/>
    <w:rsid w:val="002B329E"/>
    <w:rsid w:val="002B4A2B"/>
    <w:rsid w:val="002B5188"/>
    <w:rsid w:val="002B5342"/>
    <w:rsid w:val="002B54B2"/>
    <w:rsid w:val="002B58B5"/>
    <w:rsid w:val="002B6B74"/>
    <w:rsid w:val="002B733F"/>
    <w:rsid w:val="002B73AD"/>
    <w:rsid w:val="002B766A"/>
    <w:rsid w:val="002B78CB"/>
    <w:rsid w:val="002B7A57"/>
    <w:rsid w:val="002B7B47"/>
    <w:rsid w:val="002C0937"/>
    <w:rsid w:val="002C133E"/>
    <w:rsid w:val="002C1C41"/>
    <w:rsid w:val="002C1D83"/>
    <w:rsid w:val="002C1E57"/>
    <w:rsid w:val="002C1EBA"/>
    <w:rsid w:val="002C22EF"/>
    <w:rsid w:val="002C22F5"/>
    <w:rsid w:val="002C284B"/>
    <w:rsid w:val="002C3099"/>
    <w:rsid w:val="002C3163"/>
    <w:rsid w:val="002C3361"/>
    <w:rsid w:val="002C3BAC"/>
    <w:rsid w:val="002C3CFF"/>
    <w:rsid w:val="002C4718"/>
    <w:rsid w:val="002C4853"/>
    <w:rsid w:val="002C487A"/>
    <w:rsid w:val="002C5588"/>
    <w:rsid w:val="002C58C2"/>
    <w:rsid w:val="002C6E7F"/>
    <w:rsid w:val="002C78CE"/>
    <w:rsid w:val="002C79EA"/>
    <w:rsid w:val="002D0609"/>
    <w:rsid w:val="002D0B5E"/>
    <w:rsid w:val="002D1536"/>
    <w:rsid w:val="002D16CD"/>
    <w:rsid w:val="002D1BF6"/>
    <w:rsid w:val="002D1DF9"/>
    <w:rsid w:val="002D21A7"/>
    <w:rsid w:val="002D2DB8"/>
    <w:rsid w:val="002D3AE9"/>
    <w:rsid w:val="002D3BE5"/>
    <w:rsid w:val="002D3E2F"/>
    <w:rsid w:val="002D41E8"/>
    <w:rsid w:val="002D4530"/>
    <w:rsid w:val="002D47DE"/>
    <w:rsid w:val="002D4C66"/>
    <w:rsid w:val="002D5217"/>
    <w:rsid w:val="002D5412"/>
    <w:rsid w:val="002D57AF"/>
    <w:rsid w:val="002D5C29"/>
    <w:rsid w:val="002D7854"/>
    <w:rsid w:val="002E0076"/>
    <w:rsid w:val="002E0409"/>
    <w:rsid w:val="002E0C2B"/>
    <w:rsid w:val="002E187B"/>
    <w:rsid w:val="002E25AF"/>
    <w:rsid w:val="002E3291"/>
    <w:rsid w:val="002E38B6"/>
    <w:rsid w:val="002E3CDB"/>
    <w:rsid w:val="002E41BD"/>
    <w:rsid w:val="002E7225"/>
    <w:rsid w:val="002E7906"/>
    <w:rsid w:val="002E7A58"/>
    <w:rsid w:val="002E7B62"/>
    <w:rsid w:val="002E7EAA"/>
    <w:rsid w:val="002F0335"/>
    <w:rsid w:val="002F0562"/>
    <w:rsid w:val="002F0A1F"/>
    <w:rsid w:val="002F0EFB"/>
    <w:rsid w:val="002F1745"/>
    <w:rsid w:val="002F2C45"/>
    <w:rsid w:val="002F31DC"/>
    <w:rsid w:val="002F3D94"/>
    <w:rsid w:val="002F5A16"/>
    <w:rsid w:val="002F5DEF"/>
    <w:rsid w:val="002F6434"/>
    <w:rsid w:val="002F65E6"/>
    <w:rsid w:val="002F693B"/>
    <w:rsid w:val="002F6F75"/>
    <w:rsid w:val="002F7745"/>
    <w:rsid w:val="00300070"/>
    <w:rsid w:val="00300290"/>
    <w:rsid w:val="0030264A"/>
    <w:rsid w:val="00302847"/>
    <w:rsid w:val="00302DF1"/>
    <w:rsid w:val="00302E6D"/>
    <w:rsid w:val="003034CB"/>
    <w:rsid w:val="0030437F"/>
    <w:rsid w:val="003046ED"/>
    <w:rsid w:val="003050D4"/>
    <w:rsid w:val="0030594E"/>
    <w:rsid w:val="00305B77"/>
    <w:rsid w:val="003063CD"/>
    <w:rsid w:val="00306EC9"/>
    <w:rsid w:val="00307270"/>
    <w:rsid w:val="00307854"/>
    <w:rsid w:val="003101B8"/>
    <w:rsid w:val="00310BC6"/>
    <w:rsid w:val="00310D66"/>
    <w:rsid w:val="00311A37"/>
    <w:rsid w:val="00311AD4"/>
    <w:rsid w:val="003121CE"/>
    <w:rsid w:val="003121F1"/>
    <w:rsid w:val="00312819"/>
    <w:rsid w:val="00312908"/>
    <w:rsid w:val="00314105"/>
    <w:rsid w:val="003149E0"/>
    <w:rsid w:val="00316D28"/>
    <w:rsid w:val="00316E6D"/>
    <w:rsid w:val="00317AAC"/>
    <w:rsid w:val="00317D11"/>
    <w:rsid w:val="003203FB"/>
    <w:rsid w:val="00321896"/>
    <w:rsid w:val="00321AA4"/>
    <w:rsid w:val="00321E76"/>
    <w:rsid w:val="00322601"/>
    <w:rsid w:val="00323813"/>
    <w:rsid w:val="003239C6"/>
    <w:rsid w:val="00323B65"/>
    <w:rsid w:val="0032589B"/>
    <w:rsid w:val="003264A1"/>
    <w:rsid w:val="00326819"/>
    <w:rsid w:val="00326EE3"/>
    <w:rsid w:val="00327732"/>
    <w:rsid w:val="003278D5"/>
    <w:rsid w:val="00327E38"/>
    <w:rsid w:val="0033024A"/>
    <w:rsid w:val="0033061F"/>
    <w:rsid w:val="003309CA"/>
    <w:rsid w:val="00331986"/>
    <w:rsid w:val="00333288"/>
    <w:rsid w:val="003334E9"/>
    <w:rsid w:val="003336EB"/>
    <w:rsid w:val="00334F4A"/>
    <w:rsid w:val="00334F8B"/>
    <w:rsid w:val="0033509F"/>
    <w:rsid w:val="00335779"/>
    <w:rsid w:val="0033605A"/>
    <w:rsid w:val="003375D8"/>
    <w:rsid w:val="00337CB6"/>
    <w:rsid w:val="003406D8"/>
    <w:rsid w:val="003407D8"/>
    <w:rsid w:val="00340F40"/>
    <w:rsid w:val="003420C5"/>
    <w:rsid w:val="00342224"/>
    <w:rsid w:val="003423EA"/>
    <w:rsid w:val="0034328B"/>
    <w:rsid w:val="0034414F"/>
    <w:rsid w:val="00344DCA"/>
    <w:rsid w:val="0034581C"/>
    <w:rsid w:val="00345CFB"/>
    <w:rsid w:val="003461BE"/>
    <w:rsid w:val="00346523"/>
    <w:rsid w:val="0034740C"/>
    <w:rsid w:val="003478DC"/>
    <w:rsid w:val="00350E25"/>
    <w:rsid w:val="00350F3D"/>
    <w:rsid w:val="003513F1"/>
    <w:rsid w:val="00351492"/>
    <w:rsid w:val="003518D9"/>
    <w:rsid w:val="0035209D"/>
    <w:rsid w:val="00352218"/>
    <w:rsid w:val="003525F3"/>
    <w:rsid w:val="00352662"/>
    <w:rsid w:val="003529AD"/>
    <w:rsid w:val="00352DF7"/>
    <w:rsid w:val="003534A5"/>
    <w:rsid w:val="00353596"/>
    <w:rsid w:val="003542B2"/>
    <w:rsid w:val="0035430D"/>
    <w:rsid w:val="0035444E"/>
    <w:rsid w:val="003544AE"/>
    <w:rsid w:val="00354BEC"/>
    <w:rsid w:val="00354CBD"/>
    <w:rsid w:val="00355F84"/>
    <w:rsid w:val="003566B2"/>
    <w:rsid w:val="003573EF"/>
    <w:rsid w:val="00357A4A"/>
    <w:rsid w:val="00357DA0"/>
    <w:rsid w:val="0036012C"/>
    <w:rsid w:val="00360403"/>
    <w:rsid w:val="00360997"/>
    <w:rsid w:val="00360D17"/>
    <w:rsid w:val="00360DD5"/>
    <w:rsid w:val="00361063"/>
    <w:rsid w:val="003619EF"/>
    <w:rsid w:val="00361B1E"/>
    <w:rsid w:val="003622A8"/>
    <w:rsid w:val="00362822"/>
    <w:rsid w:val="00363592"/>
    <w:rsid w:val="00363797"/>
    <w:rsid w:val="00364480"/>
    <w:rsid w:val="00364DFA"/>
    <w:rsid w:val="00365278"/>
    <w:rsid w:val="00365D99"/>
    <w:rsid w:val="00366593"/>
    <w:rsid w:val="00366742"/>
    <w:rsid w:val="00366EE1"/>
    <w:rsid w:val="00366FFD"/>
    <w:rsid w:val="003674D7"/>
    <w:rsid w:val="00367C39"/>
    <w:rsid w:val="00367D38"/>
    <w:rsid w:val="00367F06"/>
    <w:rsid w:val="0037031D"/>
    <w:rsid w:val="003708AA"/>
    <w:rsid w:val="00370AC7"/>
    <w:rsid w:val="00370B8E"/>
    <w:rsid w:val="00371C2A"/>
    <w:rsid w:val="00371D79"/>
    <w:rsid w:val="00371D7C"/>
    <w:rsid w:val="00371FCC"/>
    <w:rsid w:val="003721CF"/>
    <w:rsid w:val="00372427"/>
    <w:rsid w:val="0037396D"/>
    <w:rsid w:val="003752C5"/>
    <w:rsid w:val="003755DE"/>
    <w:rsid w:val="00376EBC"/>
    <w:rsid w:val="00380536"/>
    <w:rsid w:val="003807F0"/>
    <w:rsid w:val="003814D5"/>
    <w:rsid w:val="00382911"/>
    <w:rsid w:val="003834D1"/>
    <w:rsid w:val="003836B4"/>
    <w:rsid w:val="003838EF"/>
    <w:rsid w:val="00383F77"/>
    <w:rsid w:val="0038400F"/>
    <w:rsid w:val="003843A1"/>
    <w:rsid w:val="0038536B"/>
    <w:rsid w:val="0038564B"/>
    <w:rsid w:val="003856E7"/>
    <w:rsid w:val="00385E9E"/>
    <w:rsid w:val="00385F74"/>
    <w:rsid w:val="00386621"/>
    <w:rsid w:val="003868BD"/>
    <w:rsid w:val="0038751E"/>
    <w:rsid w:val="00387879"/>
    <w:rsid w:val="0039037A"/>
    <w:rsid w:val="003903A8"/>
    <w:rsid w:val="00390523"/>
    <w:rsid w:val="003906BA"/>
    <w:rsid w:val="00391164"/>
    <w:rsid w:val="00391867"/>
    <w:rsid w:val="003920E3"/>
    <w:rsid w:val="003928D8"/>
    <w:rsid w:val="00392DF5"/>
    <w:rsid w:val="0039346A"/>
    <w:rsid w:val="0039369B"/>
    <w:rsid w:val="00393BDB"/>
    <w:rsid w:val="00393D34"/>
    <w:rsid w:val="00394162"/>
    <w:rsid w:val="003945A9"/>
    <w:rsid w:val="0039475E"/>
    <w:rsid w:val="00394AAB"/>
    <w:rsid w:val="00394E48"/>
    <w:rsid w:val="00395124"/>
    <w:rsid w:val="00395537"/>
    <w:rsid w:val="003957B0"/>
    <w:rsid w:val="00395916"/>
    <w:rsid w:val="00396D30"/>
    <w:rsid w:val="00396DF3"/>
    <w:rsid w:val="00396EE9"/>
    <w:rsid w:val="0039724A"/>
    <w:rsid w:val="003973A2"/>
    <w:rsid w:val="003976E3"/>
    <w:rsid w:val="00397D26"/>
    <w:rsid w:val="003A1543"/>
    <w:rsid w:val="003A18F7"/>
    <w:rsid w:val="003A1A96"/>
    <w:rsid w:val="003A1C72"/>
    <w:rsid w:val="003A27B4"/>
    <w:rsid w:val="003A2BE0"/>
    <w:rsid w:val="003A2E97"/>
    <w:rsid w:val="003A36EB"/>
    <w:rsid w:val="003A4481"/>
    <w:rsid w:val="003A4496"/>
    <w:rsid w:val="003A469A"/>
    <w:rsid w:val="003A572C"/>
    <w:rsid w:val="003A5FB5"/>
    <w:rsid w:val="003A6026"/>
    <w:rsid w:val="003A603C"/>
    <w:rsid w:val="003A7674"/>
    <w:rsid w:val="003A7811"/>
    <w:rsid w:val="003A7ACE"/>
    <w:rsid w:val="003B038F"/>
    <w:rsid w:val="003B0711"/>
    <w:rsid w:val="003B0F78"/>
    <w:rsid w:val="003B1654"/>
    <w:rsid w:val="003B23F5"/>
    <w:rsid w:val="003B2572"/>
    <w:rsid w:val="003B2584"/>
    <w:rsid w:val="003B2984"/>
    <w:rsid w:val="003B29C7"/>
    <w:rsid w:val="003B2F03"/>
    <w:rsid w:val="003B3925"/>
    <w:rsid w:val="003B4337"/>
    <w:rsid w:val="003B4435"/>
    <w:rsid w:val="003B47BA"/>
    <w:rsid w:val="003B539E"/>
    <w:rsid w:val="003B5EB9"/>
    <w:rsid w:val="003B6F47"/>
    <w:rsid w:val="003B7502"/>
    <w:rsid w:val="003B7757"/>
    <w:rsid w:val="003B7BF6"/>
    <w:rsid w:val="003C04BF"/>
    <w:rsid w:val="003C1202"/>
    <w:rsid w:val="003C145C"/>
    <w:rsid w:val="003C14CC"/>
    <w:rsid w:val="003C1671"/>
    <w:rsid w:val="003C18A4"/>
    <w:rsid w:val="003C1C1F"/>
    <w:rsid w:val="003C2E53"/>
    <w:rsid w:val="003C336A"/>
    <w:rsid w:val="003C391A"/>
    <w:rsid w:val="003C3DC4"/>
    <w:rsid w:val="003C3E26"/>
    <w:rsid w:val="003C4811"/>
    <w:rsid w:val="003C4FD8"/>
    <w:rsid w:val="003C55B7"/>
    <w:rsid w:val="003C583E"/>
    <w:rsid w:val="003C59F1"/>
    <w:rsid w:val="003C608E"/>
    <w:rsid w:val="003C6706"/>
    <w:rsid w:val="003C6A1A"/>
    <w:rsid w:val="003C6F1F"/>
    <w:rsid w:val="003C7A40"/>
    <w:rsid w:val="003C7B9D"/>
    <w:rsid w:val="003D0208"/>
    <w:rsid w:val="003D03D4"/>
    <w:rsid w:val="003D03F2"/>
    <w:rsid w:val="003D10B4"/>
    <w:rsid w:val="003D13F0"/>
    <w:rsid w:val="003D15C3"/>
    <w:rsid w:val="003D18B1"/>
    <w:rsid w:val="003D1C54"/>
    <w:rsid w:val="003D1DEF"/>
    <w:rsid w:val="003D1FDE"/>
    <w:rsid w:val="003D23F7"/>
    <w:rsid w:val="003D2995"/>
    <w:rsid w:val="003D3C6D"/>
    <w:rsid w:val="003D3C78"/>
    <w:rsid w:val="003D47CC"/>
    <w:rsid w:val="003D4C25"/>
    <w:rsid w:val="003D4F8B"/>
    <w:rsid w:val="003D5381"/>
    <w:rsid w:val="003D5739"/>
    <w:rsid w:val="003D5BD4"/>
    <w:rsid w:val="003D5EC9"/>
    <w:rsid w:val="003D6292"/>
    <w:rsid w:val="003D6369"/>
    <w:rsid w:val="003D655C"/>
    <w:rsid w:val="003D6695"/>
    <w:rsid w:val="003D6C30"/>
    <w:rsid w:val="003D734B"/>
    <w:rsid w:val="003D7C7A"/>
    <w:rsid w:val="003D7DF4"/>
    <w:rsid w:val="003E0508"/>
    <w:rsid w:val="003E06D8"/>
    <w:rsid w:val="003E07C3"/>
    <w:rsid w:val="003E0CC4"/>
    <w:rsid w:val="003E0D40"/>
    <w:rsid w:val="003E14BB"/>
    <w:rsid w:val="003E1A0E"/>
    <w:rsid w:val="003E1DE6"/>
    <w:rsid w:val="003E2664"/>
    <w:rsid w:val="003E4168"/>
    <w:rsid w:val="003E4E60"/>
    <w:rsid w:val="003E6E25"/>
    <w:rsid w:val="003E6E92"/>
    <w:rsid w:val="003E6F17"/>
    <w:rsid w:val="003E73E4"/>
    <w:rsid w:val="003E7B11"/>
    <w:rsid w:val="003E7C95"/>
    <w:rsid w:val="003E7F32"/>
    <w:rsid w:val="003F0141"/>
    <w:rsid w:val="003F0AE5"/>
    <w:rsid w:val="003F1949"/>
    <w:rsid w:val="003F19DA"/>
    <w:rsid w:val="003F1B82"/>
    <w:rsid w:val="003F2E14"/>
    <w:rsid w:val="003F2E54"/>
    <w:rsid w:val="003F46ED"/>
    <w:rsid w:val="003F4A86"/>
    <w:rsid w:val="003F548D"/>
    <w:rsid w:val="003F54F5"/>
    <w:rsid w:val="003F5939"/>
    <w:rsid w:val="003F5C07"/>
    <w:rsid w:val="003F6175"/>
    <w:rsid w:val="003F61A8"/>
    <w:rsid w:val="003F674D"/>
    <w:rsid w:val="003F6B5B"/>
    <w:rsid w:val="003F6BD9"/>
    <w:rsid w:val="004004B1"/>
    <w:rsid w:val="0040131D"/>
    <w:rsid w:val="0040141E"/>
    <w:rsid w:val="00401AFC"/>
    <w:rsid w:val="00401DE3"/>
    <w:rsid w:val="00402710"/>
    <w:rsid w:val="004028B5"/>
    <w:rsid w:val="0040329D"/>
    <w:rsid w:val="00403B78"/>
    <w:rsid w:val="00403DBD"/>
    <w:rsid w:val="00404C97"/>
    <w:rsid w:val="00404D20"/>
    <w:rsid w:val="00406195"/>
    <w:rsid w:val="00407012"/>
    <w:rsid w:val="004075BE"/>
    <w:rsid w:val="004075CA"/>
    <w:rsid w:val="0040794C"/>
    <w:rsid w:val="00407A77"/>
    <w:rsid w:val="00407AF3"/>
    <w:rsid w:val="00407E66"/>
    <w:rsid w:val="0041021B"/>
    <w:rsid w:val="004107D8"/>
    <w:rsid w:val="00410E21"/>
    <w:rsid w:val="004115A6"/>
    <w:rsid w:val="00411C35"/>
    <w:rsid w:val="00411CA5"/>
    <w:rsid w:val="00411DAD"/>
    <w:rsid w:val="00412D55"/>
    <w:rsid w:val="00412FD7"/>
    <w:rsid w:val="00413792"/>
    <w:rsid w:val="00413A3D"/>
    <w:rsid w:val="00413A51"/>
    <w:rsid w:val="00413CED"/>
    <w:rsid w:val="00413FD3"/>
    <w:rsid w:val="00414061"/>
    <w:rsid w:val="00414095"/>
    <w:rsid w:val="00415498"/>
    <w:rsid w:val="00415583"/>
    <w:rsid w:val="00415CA4"/>
    <w:rsid w:val="00415DF7"/>
    <w:rsid w:val="0041666F"/>
    <w:rsid w:val="00417175"/>
    <w:rsid w:val="004204D7"/>
    <w:rsid w:val="00420A2B"/>
    <w:rsid w:val="004219FD"/>
    <w:rsid w:val="00421C50"/>
    <w:rsid w:val="00422063"/>
    <w:rsid w:val="004220AA"/>
    <w:rsid w:val="00422308"/>
    <w:rsid w:val="00422480"/>
    <w:rsid w:val="004230CD"/>
    <w:rsid w:val="00424302"/>
    <w:rsid w:val="004243F0"/>
    <w:rsid w:val="004251A2"/>
    <w:rsid w:val="00425500"/>
    <w:rsid w:val="00426221"/>
    <w:rsid w:val="004275E7"/>
    <w:rsid w:val="0042763C"/>
    <w:rsid w:val="00430019"/>
    <w:rsid w:val="004309A5"/>
    <w:rsid w:val="00430D85"/>
    <w:rsid w:val="004321F0"/>
    <w:rsid w:val="00432624"/>
    <w:rsid w:val="004336F8"/>
    <w:rsid w:val="004338BA"/>
    <w:rsid w:val="00433BD4"/>
    <w:rsid w:val="00434138"/>
    <w:rsid w:val="004343B3"/>
    <w:rsid w:val="00435186"/>
    <w:rsid w:val="004367A2"/>
    <w:rsid w:val="00440172"/>
    <w:rsid w:val="0044056C"/>
    <w:rsid w:val="004405CC"/>
    <w:rsid w:val="004406A8"/>
    <w:rsid w:val="00440899"/>
    <w:rsid w:val="00440B6C"/>
    <w:rsid w:val="00440CA4"/>
    <w:rsid w:val="00440E1E"/>
    <w:rsid w:val="00441137"/>
    <w:rsid w:val="004412E4"/>
    <w:rsid w:val="004414F2"/>
    <w:rsid w:val="00441522"/>
    <w:rsid w:val="00441A5D"/>
    <w:rsid w:val="004421FD"/>
    <w:rsid w:val="00442BE2"/>
    <w:rsid w:val="004436DB"/>
    <w:rsid w:val="00443AED"/>
    <w:rsid w:val="00444406"/>
    <w:rsid w:val="00444749"/>
    <w:rsid w:val="004449B4"/>
    <w:rsid w:val="00445342"/>
    <w:rsid w:val="0044574B"/>
    <w:rsid w:val="00445D9D"/>
    <w:rsid w:val="00445F08"/>
    <w:rsid w:val="004462FE"/>
    <w:rsid w:val="00446D5D"/>
    <w:rsid w:val="004506E1"/>
    <w:rsid w:val="0045094C"/>
    <w:rsid w:val="0045112D"/>
    <w:rsid w:val="00451A0A"/>
    <w:rsid w:val="00451AD1"/>
    <w:rsid w:val="00451CDB"/>
    <w:rsid w:val="00451D96"/>
    <w:rsid w:val="00452B79"/>
    <w:rsid w:val="00452F68"/>
    <w:rsid w:val="0045404F"/>
    <w:rsid w:val="00454153"/>
    <w:rsid w:val="004543BE"/>
    <w:rsid w:val="0045453C"/>
    <w:rsid w:val="004547CE"/>
    <w:rsid w:val="00454E44"/>
    <w:rsid w:val="0045510B"/>
    <w:rsid w:val="0045564E"/>
    <w:rsid w:val="004563ED"/>
    <w:rsid w:val="004567A7"/>
    <w:rsid w:val="004573F3"/>
    <w:rsid w:val="004574C8"/>
    <w:rsid w:val="004577EF"/>
    <w:rsid w:val="00457A01"/>
    <w:rsid w:val="00460543"/>
    <w:rsid w:val="0046065E"/>
    <w:rsid w:val="00460A56"/>
    <w:rsid w:val="00461426"/>
    <w:rsid w:val="00461C40"/>
    <w:rsid w:val="0046203B"/>
    <w:rsid w:val="00462970"/>
    <w:rsid w:val="004643D0"/>
    <w:rsid w:val="0046612A"/>
    <w:rsid w:val="004666EA"/>
    <w:rsid w:val="0046687D"/>
    <w:rsid w:val="00466AC5"/>
    <w:rsid w:val="004672D9"/>
    <w:rsid w:val="004676B7"/>
    <w:rsid w:val="0046772C"/>
    <w:rsid w:val="004678BA"/>
    <w:rsid w:val="004679E2"/>
    <w:rsid w:val="00467E70"/>
    <w:rsid w:val="00467F11"/>
    <w:rsid w:val="00470FB3"/>
    <w:rsid w:val="004713D6"/>
    <w:rsid w:val="004721A6"/>
    <w:rsid w:val="00472704"/>
    <w:rsid w:val="00473815"/>
    <w:rsid w:val="00473CDD"/>
    <w:rsid w:val="00474176"/>
    <w:rsid w:val="004745BC"/>
    <w:rsid w:val="00474DA4"/>
    <w:rsid w:val="00475D5B"/>
    <w:rsid w:val="00475E50"/>
    <w:rsid w:val="00476C16"/>
    <w:rsid w:val="00477397"/>
    <w:rsid w:val="00477641"/>
    <w:rsid w:val="00477B2F"/>
    <w:rsid w:val="00480136"/>
    <w:rsid w:val="00481E50"/>
    <w:rsid w:val="00482109"/>
    <w:rsid w:val="004823B8"/>
    <w:rsid w:val="004824D1"/>
    <w:rsid w:val="004824E7"/>
    <w:rsid w:val="004826DB"/>
    <w:rsid w:val="0048289E"/>
    <w:rsid w:val="004829CB"/>
    <w:rsid w:val="00482A55"/>
    <w:rsid w:val="0048370A"/>
    <w:rsid w:val="004841BE"/>
    <w:rsid w:val="004843F9"/>
    <w:rsid w:val="004852B6"/>
    <w:rsid w:val="004854D3"/>
    <w:rsid w:val="00486BEF"/>
    <w:rsid w:val="0048738F"/>
    <w:rsid w:val="00487738"/>
    <w:rsid w:val="00487901"/>
    <w:rsid w:val="00487DDD"/>
    <w:rsid w:val="0049110A"/>
    <w:rsid w:val="004915EC"/>
    <w:rsid w:val="0049160D"/>
    <w:rsid w:val="004918F9"/>
    <w:rsid w:val="00492207"/>
    <w:rsid w:val="004929FD"/>
    <w:rsid w:val="00492CB7"/>
    <w:rsid w:val="00494209"/>
    <w:rsid w:val="00494B35"/>
    <w:rsid w:val="00494E1F"/>
    <w:rsid w:val="00494E53"/>
    <w:rsid w:val="00495399"/>
    <w:rsid w:val="00495AA9"/>
    <w:rsid w:val="0049635F"/>
    <w:rsid w:val="00496459"/>
    <w:rsid w:val="00497916"/>
    <w:rsid w:val="004A0883"/>
    <w:rsid w:val="004A1D8A"/>
    <w:rsid w:val="004A2179"/>
    <w:rsid w:val="004A2463"/>
    <w:rsid w:val="004A45F3"/>
    <w:rsid w:val="004A5058"/>
    <w:rsid w:val="004A55DC"/>
    <w:rsid w:val="004A630A"/>
    <w:rsid w:val="004A66E8"/>
    <w:rsid w:val="004A6909"/>
    <w:rsid w:val="004A7682"/>
    <w:rsid w:val="004B0C3A"/>
    <w:rsid w:val="004B2050"/>
    <w:rsid w:val="004B2B96"/>
    <w:rsid w:val="004B3043"/>
    <w:rsid w:val="004B3389"/>
    <w:rsid w:val="004B3722"/>
    <w:rsid w:val="004B419E"/>
    <w:rsid w:val="004B4571"/>
    <w:rsid w:val="004B4EA7"/>
    <w:rsid w:val="004B5E74"/>
    <w:rsid w:val="004B5FB4"/>
    <w:rsid w:val="004B68FB"/>
    <w:rsid w:val="004B6FF5"/>
    <w:rsid w:val="004B74D0"/>
    <w:rsid w:val="004B7C4B"/>
    <w:rsid w:val="004B7E31"/>
    <w:rsid w:val="004C04D5"/>
    <w:rsid w:val="004C0A01"/>
    <w:rsid w:val="004C0B0E"/>
    <w:rsid w:val="004C2AFB"/>
    <w:rsid w:val="004C2D1B"/>
    <w:rsid w:val="004C3283"/>
    <w:rsid w:val="004C376A"/>
    <w:rsid w:val="004C3E33"/>
    <w:rsid w:val="004C402D"/>
    <w:rsid w:val="004C4339"/>
    <w:rsid w:val="004C4471"/>
    <w:rsid w:val="004C4556"/>
    <w:rsid w:val="004C4853"/>
    <w:rsid w:val="004C4DF5"/>
    <w:rsid w:val="004C4E23"/>
    <w:rsid w:val="004C50DB"/>
    <w:rsid w:val="004C50DE"/>
    <w:rsid w:val="004C527F"/>
    <w:rsid w:val="004C5484"/>
    <w:rsid w:val="004C7758"/>
    <w:rsid w:val="004C7A41"/>
    <w:rsid w:val="004D0198"/>
    <w:rsid w:val="004D0AF8"/>
    <w:rsid w:val="004D0F74"/>
    <w:rsid w:val="004D1521"/>
    <w:rsid w:val="004D1888"/>
    <w:rsid w:val="004D1A20"/>
    <w:rsid w:val="004D1C97"/>
    <w:rsid w:val="004D1F5D"/>
    <w:rsid w:val="004D2AA3"/>
    <w:rsid w:val="004D2C36"/>
    <w:rsid w:val="004D2CD0"/>
    <w:rsid w:val="004D37F5"/>
    <w:rsid w:val="004D3934"/>
    <w:rsid w:val="004D3947"/>
    <w:rsid w:val="004D3D80"/>
    <w:rsid w:val="004D44D8"/>
    <w:rsid w:val="004D4671"/>
    <w:rsid w:val="004D5779"/>
    <w:rsid w:val="004D577E"/>
    <w:rsid w:val="004D5DEC"/>
    <w:rsid w:val="004D646F"/>
    <w:rsid w:val="004D6E37"/>
    <w:rsid w:val="004D7059"/>
    <w:rsid w:val="004D7953"/>
    <w:rsid w:val="004E09DF"/>
    <w:rsid w:val="004E1DF0"/>
    <w:rsid w:val="004E2269"/>
    <w:rsid w:val="004E3425"/>
    <w:rsid w:val="004E3812"/>
    <w:rsid w:val="004E5BB9"/>
    <w:rsid w:val="004E620E"/>
    <w:rsid w:val="004E6A05"/>
    <w:rsid w:val="004E6F4B"/>
    <w:rsid w:val="004E6FAC"/>
    <w:rsid w:val="004E7D20"/>
    <w:rsid w:val="004E7FE5"/>
    <w:rsid w:val="004F0894"/>
    <w:rsid w:val="004F0DFB"/>
    <w:rsid w:val="004F1494"/>
    <w:rsid w:val="004F1A4C"/>
    <w:rsid w:val="004F2240"/>
    <w:rsid w:val="004F2B8C"/>
    <w:rsid w:val="004F2D91"/>
    <w:rsid w:val="004F35D8"/>
    <w:rsid w:val="004F363A"/>
    <w:rsid w:val="004F376B"/>
    <w:rsid w:val="004F43F3"/>
    <w:rsid w:val="004F4612"/>
    <w:rsid w:val="004F48E2"/>
    <w:rsid w:val="004F51F6"/>
    <w:rsid w:val="004F5280"/>
    <w:rsid w:val="004F535B"/>
    <w:rsid w:val="004F562B"/>
    <w:rsid w:val="004F5F9D"/>
    <w:rsid w:val="004F61B1"/>
    <w:rsid w:val="004F762E"/>
    <w:rsid w:val="004F7DB3"/>
    <w:rsid w:val="004F7FDB"/>
    <w:rsid w:val="00500849"/>
    <w:rsid w:val="00500B86"/>
    <w:rsid w:val="00500F86"/>
    <w:rsid w:val="005010C0"/>
    <w:rsid w:val="005012F2"/>
    <w:rsid w:val="00501D92"/>
    <w:rsid w:val="005022A1"/>
    <w:rsid w:val="005023DC"/>
    <w:rsid w:val="0050254F"/>
    <w:rsid w:val="0050260E"/>
    <w:rsid w:val="00502F90"/>
    <w:rsid w:val="005030A0"/>
    <w:rsid w:val="00504434"/>
    <w:rsid w:val="00504581"/>
    <w:rsid w:val="005046E0"/>
    <w:rsid w:val="005053B5"/>
    <w:rsid w:val="00505511"/>
    <w:rsid w:val="00505636"/>
    <w:rsid w:val="00505C7D"/>
    <w:rsid w:val="00507B0A"/>
    <w:rsid w:val="005107B3"/>
    <w:rsid w:val="00510FB4"/>
    <w:rsid w:val="005119C0"/>
    <w:rsid w:val="00511A29"/>
    <w:rsid w:val="00511C8A"/>
    <w:rsid w:val="00512058"/>
    <w:rsid w:val="00512DFF"/>
    <w:rsid w:val="00514242"/>
    <w:rsid w:val="005144A0"/>
    <w:rsid w:val="005144C1"/>
    <w:rsid w:val="0051486D"/>
    <w:rsid w:val="00514B57"/>
    <w:rsid w:val="0051523A"/>
    <w:rsid w:val="00515FD7"/>
    <w:rsid w:val="00516CA3"/>
    <w:rsid w:val="00517044"/>
    <w:rsid w:val="005177B2"/>
    <w:rsid w:val="00517B35"/>
    <w:rsid w:val="00517B75"/>
    <w:rsid w:val="00517C1A"/>
    <w:rsid w:val="00517DA8"/>
    <w:rsid w:val="005203BF"/>
    <w:rsid w:val="00520B62"/>
    <w:rsid w:val="00520BAE"/>
    <w:rsid w:val="00521588"/>
    <w:rsid w:val="005216BD"/>
    <w:rsid w:val="005217F1"/>
    <w:rsid w:val="00521910"/>
    <w:rsid w:val="00521BB6"/>
    <w:rsid w:val="00522479"/>
    <w:rsid w:val="005226D5"/>
    <w:rsid w:val="00522886"/>
    <w:rsid w:val="00523992"/>
    <w:rsid w:val="00524B4E"/>
    <w:rsid w:val="0052532A"/>
    <w:rsid w:val="00526E68"/>
    <w:rsid w:val="00526F41"/>
    <w:rsid w:val="00527145"/>
    <w:rsid w:val="00527538"/>
    <w:rsid w:val="00527D77"/>
    <w:rsid w:val="00527EDF"/>
    <w:rsid w:val="00530308"/>
    <w:rsid w:val="005307F6"/>
    <w:rsid w:val="00530985"/>
    <w:rsid w:val="00530BF1"/>
    <w:rsid w:val="00530D07"/>
    <w:rsid w:val="0053125F"/>
    <w:rsid w:val="00531BC9"/>
    <w:rsid w:val="00531E54"/>
    <w:rsid w:val="005322DA"/>
    <w:rsid w:val="00532F14"/>
    <w:rsid w:val="00532F6A"/>
    <w:rsid w:val="00533584"/>
    <w:rsid w:val="005339DA"/>
    <w:rsid w:val="00533EDD"/>
    <w:rsid w:val="00535CA4"/>
    <w:rsid w:val="00536297"/>
    <w:rsid w:val="005364F9"/>
    <w:rsid w:val="00536AC0"/>
    <w:rsid w:val="005372EE"/>
    <w:rsid w:val="00537B91"/>
    <w:rsid w:val="0054035C"/>
    <w:rsid w:val="005403F7"/>
    <w:rsid w:val="005405D7"/>
    <w:rsid w:val="005405F8"/>
    <w:rsid w:val="00540707"/>
    <w:rsid w:val="00541230"/>
    <w:rsid w:val="00541D7D"/>
    <w:rsid w:val="0054203B"/>
    <w:rsid w:val="005422CE"/>
    <w:rsid w:val="005424BC"/>
    <w:rsid w:val="00542E2C"/>
    <w:rsid w:val="00543319"/>
    <w:rsid w:val="005434BC"/>
    <w:rsid w:val="00544698"/>
    <w:rsid w:val="00544DB9"/>
    <w:rsid w:val="005458A6"/>
    <w:rsid w:val="00546445"/>
    <w:rsid w:val="005476AC"/>
    <w:rsid w:val="00547AB8"/>
    <w:rsid w:val="005512A1"/>
    <w:rsid w:val="005516F7"/>
    <w:rsid w:val="00551967"/>
    <w:rsid w:val="00551B4F"/>
    <w:rsid w:val="00551C30"/>
    <w:rsid w:val="00552C58"/>
    <w:rsid w:val="00553CD3"/>
    <w:rsid w:val="0055407C"/>
    <w:rsid w:val="005544AE"/>
    <w:rsid w:val="0055464B"/>
    <w:rsid w:val="00556722"/>
    <w:rsid w:val="005569D5"/>
    <w:rsid w:val="00557340"/>
    <w:rsid w:val="00557374"/>
    <w:rsid w:val="0055781F"/>
    <w:rsid w:val="00557A38"/>
    <w:rsid w:val="00560461"/>
    <w:rsid w:val="00560780"/>
    <w:rsid w:val="00560DE0"/>
    <w:rsid w:val="00560F29"/>
    <w:rsid w:val="00561237"/>
    <w:rsid w:val="00561BE2"/>
    <w:rsid w:val="00563337"/>
    <w:rsid w:val="00563395"/>
    <w:rsid w:val="00563593"/>
    <w:rsid w:val="00564095"/>
    <w:rsid w:val="00564361"/>
    <w:rsid w:val="005645B5"/>
    <w:rsid w:val="00564C52"/>
    <w:rsid w:val="00565812"/>
    <w:rsid w:val="00565DB8"/>
    <w:rsid w:val="00565E32"/>
    <w:rsid w:val="005665D7"/>
    <w:rsid w:val="00567B11"/>
    <w:rsid w:val="00570061"/>
    <w:rsid w:val="005700AA"/>
    <w:rsid w:val="005707D1"/>
    <w:rsid w:val="005707EE"/>
    <w:rsid w:val="00570D1A"/>
    <w:rsid w:val="00570DEE"/>
    <w:rsid w:val="00571C8D"/>
    <w:rsid w:val="005720F2"/>
    <w:rsid w:val="00572788"/>
    <w:rsid w:val="00572890"/>
    <w:rsid w:val="0057335B"/>
    <w:rsid w:val="0057382C"/>
    <w:rsid w:val="0057394A"/>
    <w:rsid w:val="00573AE6"/>
    <w:rsid w:val="0057434B"/>
    <w:rsid w:val="0057461E"/>
    <w:rsid w:val="00574A8B"/>
    <w:rsid w:val="00574CAC"/>
    <w:rsid w:val="0057528D"/>
    <w:rsid w:val="0057586B"/>
    <w:rsid w:val="005758E3"/>
    <w:rsid w:val="00575F0A"/>
    <w:rsid w:val="00576164"/>
    <w:rsid w:val="005765DD"/>
    <w:rsid w:val="00577912"/>
    <w:rsid w:val="00577CBD"/>
    <w:rsid w:val="005800E4"/>
    <w:rsid w:val="005809C8"/>
    <w:rsid w:val="005811A2"/>
    <w:rsid w:val="0058202D"/>
    <w:rsid w:val="00582749"/>
    <w:rsid w:val="0058276F"/>
    <w:rsid w:val="00583528"/>
    <w:rsid w:val="00583612"/>
    <w:rsid w:val="0058373A"/>
    <w:rsid w:val="00584008"/>
    <w:rsid w:val="005843B3"/>
    <w:rsid w:val="00584F89"/>
    <w:rsid w:val="0058510D"/>
    <w:rsid w:val="005852F4"/>
    <w:rsid w:val="0058567E"/>
    <w:rsid w:val="00585764"/>
    <w:rsid w:val="00586620"/>
    <w:rsid w:val="00586B51"/>
    <w:rsid w:val="00586CBC"/>
    <w:rsid w:val="00590720"/>
    <w:rsid w:val="005907F7"/>
    <w:rsid w:val="00592243"/>
    <w:rsid w:val="0059257F"/>
    <w:rsid w:val="00592683"/>
    <w:rsid w:val="00592EC8"/>
    <w:rsid w:val="00592FF6"/>
    <w:rsid w:val="00595DE5"/>
    <w:rsid w:val="00595F4B"/>
    <w:rsid w:val="00596266"/>
    <w:rsid w:val="00596DC3"/>
    <w:rsid w:val="005A0C54"/>
    <w:rsid w:val="005A118A"/>
    <w:rsid w:val="005A2B50"/>
    <w:rsid w:val="005A2C1C"/>
    <w:rsid w:val="005A39CC"/>
    <w:rsid w:val="005A3B9C"/>
    <w:rsid w:val="005A40C3"/>
    <w:rsid w:val="005A5568"/>
    <w:rsid w:val="005A5FE4"/>
    <w:rsid w:val="005A6CD2"/>
    <w:rsid w:val="005A6FDA"/>
    <w:rsid w:val="005A7B0D"/>
    <w:rsid w:val="005B01DA"/>
    <w:rsid w:val="005B03D2"/>
    <w:rsid w:val="005B040E"/>
    <w:rsid w:val="005B05C3"/>
    <w:rsid w:val="005B0D01"/>
    <w:rsid w:val="005B0DFA"/>
    <w:rsid w:val="005B11D5"/>
    <w:rsid w:val="005B11F1"/>
    <w:rsid w:val="005B242C"/>
    <w:rsid w:val="005B243D"/>
    <w:rsid w:val="005B25FB"/>
    <w:rsid w:val="005B4A3D"/>
    <w:rsid w:val="005B50A2"/>
    <w:rsid w:val="005B53F7"/>
    <w:rsid w:val="005B5C4E"/>
    <w:rsid w:val="005B65CB"/>
    <w:rsid w:val="005B735A"/>
    <w:rsid w:val="005B75B4"/>
    <w:rsid w:val="005B7D2A"/>
    <w:rsid w:val="005B7F51"/>
    <w:rsid w:val="005C08D5"/>
    <w:rsid w:val="005C10DF"/>
    <w:rsid w:val="005C1552"/>
    <w:rsid w:val="005C1607"/>
    <w:rsid w:val="005C1718"/>
    <w:rsid w:val="005C1A03"/>
    <w:rsid w:val="005C1B75"/>
    <w:rsid w:val="005C1C21"/>
    <w:rsid w:val="005C209D"/>
    <w:rsid w:val="005C22D0"/>
    <w:rsid w:val="005C2502"/>
    <w:rsid w:val="005C278F"/>
    <w:rsid w:val="005C3342"/>
    <w:rsid w:val="005C3711"/>
    <w:rsid w:val="005C37BE"/>
    <w:rsid w:val="005C3ED3"/>
    <w:rsid w:val="005C4429"/>
    <w:rsid w:val="005C46F7"/>
    <w:rsid w:val="005C4BA1"/>
    <w:rsid w:val="005C5071"/>
    <w:rsid w:val="005C5C2F"/>
    <w:rsid w:val="005C6282"/>
    <w:rsid w:val="005C6F6D"/>
    <w:rsid w:val="005C7068"/>
    <w:rsid w:val="005D00A1"/>
    <w:rsid w:val="005D03F5"/>
    <w:rsid w:val="005D0746"/>
    <w:rsid w:val="005D14D9"/>
    <w:rsid w:val="005D1680"/>
    <w:rsid w:val="005D171A"/>
    <w:rsid w:val="005D1836"/>
    <w:rsid w:val="005D1B66"/>
    <w:rsid w:val="005D1D4B"/>
    <w:rsid w:val="005D1FBE"/>
    <w:rsid w:val="005D2C38"/>
    <w:rsid w:val="005D2D99"/>
    <w:rsid w:val="005D307C"/>
    <w:rsid w:val="005D32D5"/>
    <w:rsid w:val="005D343D"/>
    <w:rsid w:val="005D3B18"/>
    <w:rsid w:val="005D3E37"/>
    <w:rsid w:val="005D43D7"/>
    <w:rsid w:val="005D446D"/>
    <w:rsid w:val="005D4F5E"/>
    <w:rsid w:val="005D542B"/>
    <w:rsid w:val="005D54DC"/>
    <w:rsid w:val="005D5B37"/>
    <w:rsid w:val="005D5DB3"/>
    <w:rsid w:val="005D666F"/>
    <w:rsid w:val="005D7168"/>
    <w:rsid w:val="005D7536"/>
    <w:rsid w:val="005D761D"/>
    <w:rsid w:val="005D796A"/>
    <w:rsid w:val="005D7B4A"/>
    <w:rsid w:val="005E09F2"/>
    <w:rsid w:val="005E0A75"/>
    <w:rsid w:val="005E0C15"/>
    <w:rsid w:val="005E1214"/>
    <w:rsid w:val="005E142A"/>
    <w:rsid w:val="005E1963"/>
    <w:rsid w:val="005E1993"/>
    <w:rsid w:val="005E19D1"/>
    <w:rsid w:val="005E1E38"/>
    <w:rsid w:val="005E1FA4"/>
    <w:rsid w:val="005E25F9"/>
    <w:rsid w:val="005E2BFF"/>
    <w:rsid w:val="005E30E2"/>
    <w:rsid w:val="005E3313"/>
    <w:rsid w:val="005E374E"/>
    <w:rsid w:val="005E381A"/>
    <w:rsid w:val="005E40D9"/>
    <w:rsid w:val="005E42CF"/>
    <w:rsid w:val="005E46FD"/>
    <w:rsid w:val="005E4831"/>
    <w:rsid w:val="005E4D2B"/>
    <w:rsid w:val="005E4D41"/>
    <w:rsid w:val="005E4DBC"/>
    <w:rsid w:val="005E6BC6"/>
    <w:rsid w:val="005E6FB9"/>
    <w:rsid w:val="005E7140"/>
    <w:rsid w:val="005E763E"/>
    <w:rsid w:val="005E7B61"/>
    <w:rsid w:val="005F0805"/>
    <w:rsid w:val="005F0D86"/>
    <w:rsid w:val="005F0E3F"/>
    <w:rsid w:val="005F1094"/>
    <w:rsid w:val="005F123D"/>
    <w:rsid w:val="005F1547"/>
    <w:rsid w:val="005F1C15"/>
    <w:rsid w:val="005F23B0"/>
    <w:rsid w:val="005F283B"/>
    <w:rsid w:val="005F289F"/>
    <w:rsid w:val="005F45AE"/>
    <w:rsid w:val="005F470A"/>
    <w:rsid w:val="005F4E56"/>
    <w:rsid w:val="005F4EB0"/>
    <w:rsid w:val="005F5860"/>
    <w:rsid w:val="005F5BDD"/>
    <w:rsid w:val="005F5DC2"/>
    <w:rsid w:val="005F5F3E"/>
    <w:rsid w:val="005F6BCD"/>
    <w:rsid w:val="005F6CB9"/>
    <w:rsid w:val="005F7400"/>
    <w:rsid w:val="005F75AF"/>
    <w:rsid w:val="005F790A"/>
    <w:rsid w:val="006008C2"/>
    <w:rsid w:val="00600D61"/>
    <w:rsid w:val="0060114F"/>
    <w:rsid w:val="006013DD"/>
    <w:rsid w:val="006013E7"/>
    <w:rsid w:val="006014B8"/>
    <w:rsid w:val="00601753"/>
    <w:rsid w:val="006017E4"/>
    <w:rsid w:val="00601F1C"/>
    <w:rsid w:val="0060237B"/>
    <w:rsid w:val="0060303C"/>
    <w:rsid w:val="00603855"/>
    <w:rsid w:val="00603B2D"/>
    <w:rsid w:val="0060492C"/>
    <w:rsid w:val="0060502D"/>
    <w:rsid w:val="00605390"/>
    <w:rsid w:val="0060598A"/>
    <w:rsid w:val="00605AC3"/>
    <w:rsid w:val="00605B1A"/>
    <w:rsid w:val="00605D6E"/>
    <w:rsid w:val="0060633A"/>
    <w:rsid w:val="0060645E"/>
    <w:rsid w:val="0060648B"/>
    <w:rsid w:val="006067C8"/>
    <w:rsid w:val="00607007"/>
    <w:rsid w:val="0060752D"/>
    <w:rsid w:val="00607979"/>
    <w:rsid w:val="00610415"/>
    <w:rsid w:val="006105F6"/>
    <w:rsid w:val="006107E7"/>
    <w:rsid w:val="00610E60"/>
    <w:rsid w:val="00611A2A"/>
    <w:rsid w:val="00611D4C"/>
    <w:rsid w:val="00611F88"/>
    <w:rsid w:val="006120CF"/>
    <w:rsid w:val="0061288B"/>
    <w:rsid w:val="006128CF"/>
    <w:rsid w:val="00612B73"/>
    <w:rsid w:val="006132E5"/>
    <w:rsid w:val="00613A3B"/>
    <w:rsid w:val="00614041"/>
    <w:rsid w:val="0061441F"/>
    <w:rsid w:val="00614AFD"/>
    <w:rsid w:val="00615369"/>
    <w:rsid w:val="006154AD"/>
    <w:rsid w:val="006157D6"/>
    <w:rsid w:val="006172F3"/>
    <w:rsid w:val="00617611"/>
    <w:rsid w:val="0061774E"/>
    <w:rsid w:val="006177D2"/>
    <w:rsid w:val="00620785"/>
    <w:rsid w:val="006213E1"/>
    <w:rsid w:val="00621D48"/>
    <w:rsid w:val="00623772"/>
    <w:rsid w:val="00623CF7"/>
    <w:rsid w:val="00623FC9"/>
    <w:rsid w:val="00624D13"/>
    <w:rsid w:val="00624FDF"/>
    <w:rsid w:val="00625069"/>
    <w:rsid w:val="00626332"/>
    <w:rsid w:val="006271C6"/>
    <w:rsid w:val="00627733"/>
    <w:rsid w:val="006304CA"/>
    <w:rsid w:val="00631783"/>
    <w:rsid w:val="00631A43"/>
    <w:rsid w:val="006322F5"/>
    <w:rsid w:val="00633481"/>
    <w:rsid w:val="0063412C"/>
    <w:rsid w:val="006355A4"/>
    <w:rsid w:val="0063635A"/>
    <w:rsid w:val="006366A7"/>
    <w:rsid w:val="00636B33"/>
    <w:rsid w:val="00637A4D"/>
    <w:rsid w:val="00641788"/>
    <w:rsid w:val="00641CA7"/>
    <w:rsid w:val="0064224B"/>
    <w:rsid w:val="006422C8"/>
    <w:rsid w:val="006422CE"/>
    <w:rsid w:val="00642FDB"/>
    <w:rsid w:val="00643144"/>
    <w:rsid w:val="006437C1"/>
    <w:rsid w:val="00643B78"/>
    <w:rsid w:val="00645FBA"/>
    <w:rsid w:val="00647799"/>
    <w:rsid w:val="00647C75"/>
    <w:rsid w:val="00650109"/>
    <w:rsid w:val="006501CD"/>
    <w:rsid w:val="0065028C"/>
    <w:rsid w:val="00650B1B"/>
    <w:rsid w:val="00651C50"/>
    <w:rsid w:val="00651CAD"/>
    <w:rsid w:val="00651D8D"/>
    <w:rsid w:val="00652271"/>
    <w:rsid w:val="00652572"/>
    <w:rsid w:val="00653502"/>
    <w:rsid w:val="006535BC"/>
    <w:rsid w:val="00653937"/>
    <w:rsid w:val="00653AB5"/>
    <w:rsid w:val="00653C28"/>
    <w:rsid w:val="00653CC2"/>
    <w:rsid w:val="006540A1"/>
    <w:rsid w:val="00654372"/>
    <w:rsid w:val="006545E1"/>
    <w:rsid w:val="00654738"/>
    <w:rsid w:val="0065497D"/>
    <w:rsid w:val="00654CBC"/>
    <w:rsid w:val="00655761"/>
    <w:rsid w:val="00655AC9"/>
    <w:rsid w:val="00656AFC"/>
    <w:rsid w:val="00657655"/>
    <w:rsid w:val="00660839"/>
    <w:rsid w:val="00660B0D"/>
    <w:rsid w:val="00660C51"/>
    <w:rsid w:val="00660DC8"/>
    <w:rsid w:val="00661F1B"/>
    <w:rsid w:val="006624A3"/>
    <w:rsid w:val="00662544"/>
    <w:rsid w:val="0066275A"/>
    <w:rsid w:val="00662A61"/>
    <w:rsid w:val="00662E7A"/>
    <w:rsid w:val="006636AD"/>
    <w:rsid w:val="00663D9A"/>
    <w:rsid w:val="0066495E"/>
    <w:rsid w:val="00664D53"/>
    <w:rsid w:val="00665524"/>
    <w:rsid w:val="006655BA"/>
    <w:rsid w:val="00665C91"/>
    <w:rsid w:val="00665DCD"/>
    <w:rsid w:val="00666A74"/>
    <w:rsid w:val="00666B97"/>
    <w:rsid w:val="00667B9C"/>
    <w:rsid w:val="00670934"/>
    <w:rsid w:val="006732D2"/>
    <w:rsid w:val="00673C3B"/>
    <w:rsid w:val="006745CF"/>
    <w:rsid w:val="006749D3"/>
    <w:rsid w:val="00674AC1"/>
    <w:rsid w:val="00674AC5"/>
    <w:rsid w:val="00674E5E"/>
    <w:rsid w:val="00674FEB"/>
    <w:rsid w:val="00675518"/>
    <w:rsid w:val="0067567E"/>
    <w:rsid w:val="00675CFD"/>
    <w:rsid w:val="0067660E"/>
    <w:rsid w:val="00676899"/>
    <w:rsid w:val="00676B88"/>
    <w:rsid w:val="00677120"/>
    <w:rsid w:val="00677669"/>
    <w:rsid w:val="00677B02"/>
    <w:rsid w:val="00677E3B"/>
    <w:rsid w:val="00680087"/>
    <w:rsid w:val="006806FC"/>
    <w:rsid w:val="00680E53"/>
    <w:rsid w:val="0068181E"/>
    <w:rsid w:val="00681AB4"/>
    <w:rsid w:val="00682924"/>
    <w:rsid w:val="00683690"/>
    <w:rsid w:val="00683D2D"/>
    <w:rsid w:val="00684A5F"/>
    <w:rsid w:val="00684B32"/>
    <w:rsid w:val="00685151"/>
    <w:rsid w:val="0068517A"/>
    <w:rsid w:val="00685221"/>
    <w:rsid w:val="006855BF"/>
    <w:rsid w:val="006861C1"/>
    <w:rsid w:val="00686269"/>
    <w:rsid w:val="00686FDB"/>
    <w:rsid w:val="00690219"/>
    <w:rsid w:val="006904D4"/>
    <w:rsid w:val="0069133D"/>
    <w:rsid w:val="006913F5"/>
    <w:rsid w:val="00691784"/>
    <w:rsid w:val="00691D0E"/>
    <w:rsid w:val="00692444"/>
    <w:rsid w:val="00692C91"/>
    <w:rsid w:val="00692EB2"/>
    <w:rsid w:val="006933D2"/>
    <w:rsid w:val="006939D1"/>
    <w:rsid w:val="00693FB6"/>
    <w:rsid w:val="00694544"/>
    <w:rsid w:val="00694786"/>
    <w:rsid w:val="00694CDB"/>
    <w:rsid w:val="00694E67"/>
    <w:rsid w:val="00695C8D"/>
    <w:rsid w:val="00696033"/>
    <w:rsid w:val="00696578"/>
    <w:rsid w:val="00696A34"/>
    <w:rsid w:val="00696CBC"/>
    <w:rsid w:val="006974BB"/>
    <w:rsid w:val="00697814"/>
    <w:rsid w:val="006A02B8"/>
    <w:rsid w:val="006A0CCB"/>
    <w:rsid w:val="006A0E0B"/>
    <w:rsid w:val="006A1602"/>
    <w:rsid w:val="006A1C85"/>
    <w:rsid w:val="006A1EF9"/>
    <w:rsid w:val="006A202E"/>
    <w:rsid w:val="006A2825"/>
    <w:rsid w:val="006A3064"/>
    <w:rsid w:val="006A395C"/>
    <w:rsid w:val="006A4639"/>
    <w:rsid w:val="006A4F9F"/>
    <w:rsid w:val="006A51F4"/>
    <w:rsid w:val="006A59B3"/>
    <w:rsid w:val="006A60B6"/>
    <w:rsid w:val="006A6A54"/>
    <w:rsid w:val="006A795F"/>
    <w:rsid w:val="006A7C7F"/>
    <w:rsid w:val="006B0435"/>
    <w:rsid w:val="006B0690"/>
    <w:rsid w:val="006B1653"/>
    <w:rsid w:val="006B1E15"/>
    <w:rsid w:val="006B20DE"/>
    <w:rsid w:val="006B2AC4"/>
    <w:rsid w:val="006B353F"/>
    <w:rsid w:val="006B3710"/>
    <w:rsid w:val="006B3BA4"/>
    <w:rsid w:val="006B42E5"/>
    <w:rsid w:val="006B5C00"/>
    <w:rsid w:val="006B6C5F"/>
    <w:rsid w:val="006B70D7"/>
    <w:rsid w:val="006B78A6"/>
    <w:rsid w:val="006B79B7"/>
    <w:rsid w:val="006B7E98"/>
    <w:rsid w:val="006C00BE"/>
    <w:rsid w:val="006C024F"/>
    <w:rsid w:val="006C05FC"/>
    <w:rsid w:val="006C1E85"/>
    <w:rsid w:val="006C21BB"/>
    <w:rsid w:val="006C2631"/>
    <w:rsid w:val="006C2D82"/>
    <w:rsid w:val="006C36D5"/>
    <w:rsid w:val="006C4409"/>
    <w:rsid w:val="006C4DE6"/>
    <w:rsid w:val="006C4E38"/>
    <w:rsid w:val="006C514C"/>
    <w:rsid w:val="006C53A0"/>
    <w:rsid w:val="006C54A5"/>
    <w:rsid w:val="006C5640"/>
    <w:rsid w:val="006C58C2"/>
    <w:rsid w:val="006C5D15"/>
    <w:rsid w:val="006C66DE"/>
    <w:rsid w:val="006C6B29"/>
    <w:rsid w:val="006C6EFA"/>
    <w:rsid w:val="006C718B"/>
    <w:rsid w:val="006C7511"/>
    <w:rsid w:val="006C7C57"/>
    <w:rsid w:val="006D0136"/>
    <w:rsid w:val="006D02A9"/>
    <w:rsid w:val="006D0390"/>
    <w:rsid w:val="006D0AFA"/>
    <w:rsid w:val="006D1448"/>
    <w:rsid w:val="006D15FD"/>
    <w:rsid w:val="006D1B3D"/>
    <w:rsid w:val="006D2724"/>
    <w:rsid w:val="006D27DA"/>
    <w:rsid w:val="006D289F"/>
    <w:rsid w:val="006D28F6"/>
    <w:rsid w:val="006D2936"/>
    <w:rsid w:val="006D2B20"/>
    <w:rsid w:val="006D42C1"/>
    <w:rsid w:val="006D4BF2"/>
    <w:rsid w:val="006D50D4"/>
    <w:rsid w:val="006D5241"/>
    <w:rsid w:val="006D5C41"/>
    <w:rsid w:val="006D6368"/>
    <w:rsid w:val="006D660D"/>
    <w:rsid w:val="006D670E"/>
    <w:rsid w:val="006D6EB3"/>
    <w:rsid w:val="006D702E"/>
    <w:rsid w:val="006D7F49"/>
    <w:rsid w:val="006E030C"/>
    <w:rsid w:val="006E0D71"/>
    <w:rsid w:val="006E1667"/>
    <w:rsid w:val="006E2B9B"/>
    <w:rsid w:val="006E36E6"/>
    <w:rsid w:val="006E4123"/>
    <w:rsid w:val="006E4206"/>
    <w:rsid w:val="006E47C0"/>
    <w:rsid w:val="006E49EA"/>
    <w:rsid w:val="006E5759"/>
    <w:rsid w:val="006E57B4"/>
    <w:rsid w:val="006E5B48"/>
    <w:rsid w:val="006E5CE0"/>
    <w:rsid w:val="006E60F5"/>
    <w:rsid w:val="006E67AE"/>
    <w:rsid w:val="006E6D29"/>
    <w:rsid w:val="006E7254"/>
    <w:rsid w:val="006E78F5"/>
    <w:rsid w:val="006E7AA8"/>
    <w:rsid w:val="006E7AB6"/>
    <w:rsid w:val="006E7E1C"/>
    <w:rsid w:val="006F0D83"/>
    <w:rsid w:val="006F1178"/>
    <w:rsid w:val="006F1223"/>
    <w:rsid w:val="006F1370"/>
    <w:rsid w:val="006F16E9"/>
    <w:rsid w:val="006F2926"/>
    <w:rsid w:val="006F2E50"/>
    <w:rsid w:val="006F2E8E"/>
    <w:rsid w:val="006F309C"/>
    <w:rsid w:val="006F387C"/>
    <w:rsid w:val="006F3941"/>
    <w:rsid w:val="006F3B26"/>
    <w:rsid w:val="006F41EF"/>
    <w:rsid w:val="006F45EB"/>
    <w:rsid w:val="006F53B0"/>
    <w:rsid w:val="006F5424"/>
    <w:rsid w:val="006F57E9"/>
    <w:rsid w:val="006F5D90"/>
    <w:rsid w:val="006F5FE2"/>
    <w:rsid w:val="006F613C"/>
    <w:rsid w:val="006F73C9"/>
    <w:rsid w:val="00701CFB"/>
    <w:rsid w:val="00702359"/>
    <w:rsid w:val="00702EE4"/>
    <w:rsid w:val="0070350C"/>
    <w:rsid w:val="00704161"/>
    <w:rsid w:val="007049AA"/>
    <w:rsid w:val="00704A6C"/>
    <w:rsid w:val="00704AEB"/>
    <w:rsid w:val="00705437"/>
    <w:rsid w:val="0070543C"/>
    <w:rsid w:val="007058F3"/>
    <w:rsid w:val="007059D3"/>
    <w:rsid w:val="007066DC"/>
    <w:rsid w:val="00706818"/>
    <w:rsid w:val="007078C2"/>
    <w:rsid w:val="00707D2C"/>
    <w:rsid w:val="00710239"/>
    <w:rsid w:val="007110B3"/>
    <w:rsid w:val="007111D2"/>
    <w:rsid w:val="00711536"/>
    <w:rsid w:val="00711F41"/>
    <w:rsid w:val="00712012"/>
    <w:rsid w:val="0071210E"/>
    <w:rsid w:val="00712524"/>
    <w:rsid w:val="0071252B"/>
    <w:rsid w:val="007126A5"/>
    <w:rsid w:val="007129A5"/>
    <w:rsid w:val="0071379C"/>
    <w:rsid w:val="00714B2B"/>
    <w:rsid w:val="00714EEE"/>
    <w:rsid w:val="00715198"/>
    <w:rsid w:val="007167BE"/>
    <w:rsid w:val="0071694E"/>
    <w:rsid w:val="00717333"/>
    <w:rsid w:val="0071771D"/>
    <w:rsid w:val="00720119"/>
    <w:rsid w:val="00720CD6"/>
    <w:rsid w:val="00720EF3"/>
    <w:rsid w:val="00720F15"/>
    <w:rsid w:val="007228D8"/>
    <w:rsid w:val="00722E0C"/>
    <w:rsid w:val="00722E97"/>
    <w:rsid w:val="007230F4"/>
    <w:rsid w:val="00723368"/>
    <w:rsid w:val="00723459"/>
    <w:rsid w:val="00723EB8"/>
    <w:rsid w:val="00723FF6"/>
    <w:rsid w:val="00725023"/>
    <w:rsid w:val="00725329"/>
    <w:rsid w:val="007258FA"/>
    <w:rsid w:val="00725A3A"/>
    <w:rsid w:val="007260CD"/>
    <w:rsid w:val="0072647A"/>
    <w:rsid w:val="007264ED"/>
    <w:rsid w:val="00726C24"/>
    <w:rsid w:val="0072774E"/>
    <w:rsid w:val="007277CB"/>
    <w:rsid w:val="007318A6"/>
    <w:rsid w:val="00731F5E"/>
    <w:rsid w:val="007322B0"/>
    <w:rsid w:val="0073303D"/>
    <w:rsid w:val="007336FB"/>
    <w:rsid w:val="00733828"/>
    <w:rsid w:val="00733E7C"/>
    <w:rsid w:val="00734180"/>
    <w:rsid w:val="00734D15"/>
    <w:rsid w:val="007357F4"/>
    <w:rsid w:val="007358EA"/>
    <w:rsid w:val="00735A5E"/>
    <w:rsid w:val="00735E60"/>
    <w:rsid w:val="00735F49"/>
    <w:rsid w:val="00737C8D"/>
    <w:rsid w:val="007404CD"/>
    <w:rsid w:val="00741702"/>
    <w:rsid w:val="0074298E"/>
    <w:rsid w:val="00742B5A"/>
    <w:rsid w:val="00743390"/>
    <w:rsid w:val="00743799"/>
    <w:rsid w:val="00744016"/>
    <w:rsid w:val="007441BE"/>
    <w:rsid w:val="007444A5"/>
    <w:rsid w:val="007458EB"/>
    <w:rsid w:val="00745983"/>
    <w:rsid w:val="007471A7"/>
    <w:rsid w:val="007471E4"/>
    <w:rsid w:val="00751E10"/>
    <w:rsid w:val="00751FE8"/>
    <w:rsid w:val="007523A4"/>
    <w:rsid w:val="00752E37"/>
    <w:rsid w:val="007537CD"/>
    <w:rsid w:val="00753C79"/>
    <w:rsid w:val="00755D25"/>
    <w:rsid w:val="00756D94"/>
    <w:rsid w:val="00756DB9"/>
    <w:rsid w:val="00756E85"/>
    <w:rsid w:val="007573EF"/>
    <w:rsid w:val="00757680"/>
    <w:rsid w:val="00757C7F"/>
    <w:rsid w:val="0076095B"/>
    <w:rsid w:val="00761E44"/>
    <w:rsid w:val="00762BA0"/>
    <w:rsid w:val="00763EF4"/>
    <w:rsid w:val="0076419A"/>
    <w:rsid w:val="00764AF5"/>
    <w:rsid w:val="00764C80"/>
    <w:rsid w:val="00765188"/>
    <w:rsid w:val="00766165"/>
    <w:rsid w:val="007665FD"/>
    <w:rsid w:val="00766D05"/>
    <w:rsid w:val="00766E68"/>
    <w:rsid w:val="00766ECC"/>
    <w:rsid w:val="00766F1D"/>
    <w:rsid w:val="00770070"/>
    <w:rsid w:val="0077270B"/>
    <w:rsid w:val="00773417"/>
    <w:rsid w:val="00773AC8"/>
    <w:rsid w:val="00773DB7"/>
    <w:rsid w:val="0077422A"/>
    <w:rsid w:val="0077455B"/>
    <w:rsid w:val="007746EB"/>
    <w:rsid w:val="00774D22"/>
    <w:rsid w:val="0077590D"/>
    <w:rsid w:val="00775A0D"/>
    <w:rsid w:val="007760D9"/>
    <w:rsid w:val="0077617A"/>
    <w:rsid w:val="00776765"/>
    <w:rsid w:val="0077686C"/>
    <w:rsid w:val="00776A84"/>
    <w:rsid w:val="007774AA"/>
    <w:rsid w:val="00777ADA"/>
    <w:rsid w:val="0078102F"/>
    <w:rsid w:val="00781A82"/>
    <w:rsid w:val="00782091"/>
    <w:rsid w:val="00782698"/>
    <w:rsid w:val="00782F05"/>
    <w:rsid w:val="007832E9"/>
    <w:rsid w:val="0078330F"/>
    <w:rsid w:val="007833C1"/>
    <w:rsid w:val="00783692"/>
    <w:rsid w:val="00783A75"/>
    <w:rsid w:val="0078443D"/>
    <w:rsid w:val="00784A6B"/>
    <w:rsid w:val="00784C54"/>
    <w:rsid w:val="00784D3E"/>
    <w:rsid w:val="00785D62"/>
    <w:rsid w:val="00786044"/>
    <w:rsid w:val="00786366"/>
    <w:rsid w:val="00786991"/>
    <w:rsid w:val="00786EDC"/>
    <w:rsid w:val="007874DE"/>
    <w:rsid w:val="00787540"/>
    <w:rsid w:val="007879FF"/>
    <w:rsid w:val="00787EC0"/>
    <w:rsid w:val="00787FB0"/>
    <w:rsid w:val="00790AE9"/>
    <w:rsid w:val="0079244A"/>
    <w:rsid w:val="00792A38"/>
    <w:rsid w:val="00792A8F"/>
    <w:rsid w:val="0079312D"/>
    <w:rsid w:val="00793571"/>
    <w:rsid w:val="00793696"/>
    <w:rsid w:val="00793998"/>
    <w:rsid w:val="00794828"/>
    <w:rsid w:val="00794829"/>
    <w:rsid w:val="00794C17"/>
    <w:rsid w:val="00795359"/>
    <w:rsid w:val="007954A0"/>
    <w:rsid w:val="00795C43"/>
    <w:rsid w:val="00796546"/>
    <w:rsid w:val="0079656F"/>
    <w:rsid w:val="0079673D"/>
    <w:rsid w:val="007967A8"/>
    <w:rsid w:val="00796A3B"/>
    <w:rsid w:val="00796EFF"/>
    <w:rsid w:val="00797026"/>
    <w:rsid w:val="007973F4"/>
    <w:rsid w:val="00797E3D"/>
    <w:rsid w:val="007A034B"/>
    <w:rsid w:val="007A043B"/>
    <w:rsid w:val="007A0E96"/>
    <w:rsid w:val="007A14E5"/>
    <w:rsid w:val="007A19A0"/>
    <w:rsid w:val="007A1FAC"/>
    <w:rsid w:val="007A2B3F"/>
    <w:rsid w:val="007A355E"/>
    <w:rsid w:val="007A3586"/>
    <w:rsid w:val="007A4199"/>
    <w:rsid w:val="007A48F0"/>
    <w:rsid w:val="007A4C57"/>
    <w:rsid w:val="007A522A"/>
    <w:rsid w:val="007A551F"/>
    <w:rsid w:val="007A5BAD"/>
    <w:rsid w:val="007A5D96"/>
    <w:rsid w:val="007A6547"/>
    <w:rsid w:val="007A69E9"/>
    <w:rsid w:val="007A6F08"/>
    <w:rsid w:val="007B186B"/>
    <w:rsid w:val="007B2108"/>
    <w:rsid w:val="007B2D11"/>
    <w:rsid w:val="007B2F20"/>
    <w:rsid w:val="007B311C"/>
    <w:rsid w:val="007B3211"/>
    <w:rsid w:val="007B3498"/>
    <w:rsid w:val="007B36AC"/>
    <w:rsid w:val="007B4266"/>
    <w:rsid w:val="007B42E7"/>
    <w:rsid w:val="007B43AC"/>
    <w:rsid w:val="007B46F1"/>
    <w:rsid w:val="007B487C"/>
    <w:rsid w:val="007B5361"/>
    <w:rsid w:val="007B5CA0"/>
    <w:rsid w:val="007B6E32"/>
    <w:rsid w:val="007B76F7"/>
    <w:rsid w:val="007B793F"/>
    <w:rsid w:val="007B7A42"/>
    <w:rsid w:val="007B7CC7"/>
    <w:rsid w:val="007C00B9"/>
    <w:rsid w:val="007C0393"/>
    <w:rsid w:val="007C08F3"/>
    <w:rsid w:val="007C0D19"/>
    <w:rsid w:val="007C1202"/>
    <w:rsid w:val="007C1B1D"/>
    <w:rsid w:val="007C1E63"/>
    <w:rsid w:val="007C25DA"/>
    <w:rsid w:val="007C28EC"/>
    <w:rsid w:val="007C2B06"/>
    <w:rsid w:val="007C30A5"/>
    <w:rsid w:val="007C3426"/>
    <w:rsid w:val="007C3E4E"/>
    <w:rsid w:val="007C46C2"/>
    <w:rsid w:val="007C4C5E"/>
    <w:rsid w:val="007C5735"/>
    <w:rsid w:val="007C602E"/>
    <w:rsid w:val="007C62C4"/>
    <w:rsid w:val="007C6394"/>
    <w:rsid w:val="007C66A8"/>
    <w:rsid w:val="007C676D"/>
    <w:rsid w:val="007C6BC2"/>
    <w:rsid w:val="007C76A9"/>
    <w:rsid w:val="007C7846"/>
    <w:rsid w:val="007D06B2"/>
    <w:rsid w:val="007D06C2"/>
    <w:rsid w:val="007D0CCE"/>
    <w:rsid w:val="007D12B8"/>
    <w:rsid w:val="007D1307"/>
    <w:rsid w:val="007D15CA"/>
    <w:rsid w:val="007D19C5"/>
    <w:rsid w:val="007D2412"/>
    <w:rsid w:val="007D2770"/>
    <w:rsid w:val="007D2EBC"/>
    <w:rsid w:val="007D3020"/>
    <w:rsid w:val="007D316E"/>
    <w:rsid w:val="007D3F3C"/>
    <w:rsid w:val="007D470A"/>
    <w:rsid w:val="007D5664"/>
    <w:rsid w:val="007D5C8E"/>
    <w:rsid w:val="007D6565"/>
    <w:rsid w:val="007D66A1"/>
    <w:rsid w:val="007D7F52"/>
    <w:rsid w:val="007D7FB4"/>
    <w:rsid w:val="007E049E"/>
    <w:rsid w:val="007E0521"/>
    <w:rsid w:val="007E0767"/>
    <w:rsid w:val="007E0832"/>
    <w:rsid w:val="007E0C01"/>
    <w:rsid w:val="007E0CF7"/>
    <w:rsid w:val="007E0E98"/>
    <w:rsid w:val="007E133A"/>
    <w:rsid w:val="007E2468"/>
    <w:rsid w:val="007E2B09"/>
    <w:rsid w:val="007E313A"/>
    <w:rsid w:val="007E3302"/>
    <w:rsid w:val="007E35DB"/>
    <w:rsid w:val="007E37C0"/>
    <w:rsid w:val="007E4873"/>
    <w:rsid w:val="007E51EF"/>
    <w:rsid w:val="007E66E3"/>
    <w:rsid w:val="007E7509"/>
    <w:rsid w:val="007E78B3"/>
    <w:rsid w:val="007E7B81"/>
    <w:rsid w:val="007F0334"/>
    <w:rsid w:val="007F03BA"/>
    <w:rsid w:val="007F06A4"/>
    <w:rsid w:val="007F0CE1"/>
    <w:rsid w:val="007F23F3"/>
    <w:rsid w:val="007F2E03"/>
    <w:rsid w:val="007F32B1"/>
    <w:rsid w:val="007F377D"/>
    <w:rsid w:val="007F395C"/>
    <w:rsid w:val="007F3A47"/>
    <w:rsid w:val="007F4697"/>
    <w:rsid w:val="007F469A"/>
    <w:rsid w:val="007F5023"/>
    <w:rsid w:val="007F5B82"/>
    <w:rsid w:val="007F6D57"/>
    <w:rsid w:val="007F6F20"/>
    <w:rsid w:val="007F7B11"/>
    <w:rsid w:val="008002E2"/>
    <w:rsid w:val="008004FB"/>
    <w:rsid w:val="008014A9"/>
    <w:rsid w:val="00801645"/>
    <w:rsid w:val="00801A7D"/>
    <w:rsid w:val="00801B7D"/>
    <w:rsid w:val="008020AB"/>
    <w:rsid w:val="00802501"/>
    <w:rsid w:val="0080285C"/>
    <w:rsid w:val="00803947"/>
    <w:rsid w:val="00803C7B"/>
    <w:rsid w:val="008046BC"/>
    <w:rsid w:val="0080486F"/>
    <w:rsid w:val="00804FCE"/>
    <w:rsid w:val="00805CD5"/>
    <w:rsid w:val="00806AF5"/>
    <w:rsid w:val="0080727E"/>
    <w:rsid w:val="0080728B"/>
    <w:rsid w:val="008073BD"/>
    <w:rsid w:val="008075CA"/>
    <w:rsid w:val="008103BC"/>
    <w:rsid w:val="0081138D"/>
    <w:rsid w:val="00811558"/>
    <w:rsid w:val="00811A34"/>
    <w:rsid w:val="008121B6"/>
    <w:rsid w:val="00812573"/>
    <w:rsid w:val="008129C6"/>
    <w:rsid w:val="00812EB0"/>
    <w:rsid w:val="00813130"/>
    <w:rsid w:val="00813964"/>
    <w:rsid w:val="00813F1A"/>
    <w:rsid w:val="008146EF"/>
    <w:rsid w:val="00814819"/>
    <w:rsid w:val="0081600B"/>
    <w:rsid w:val="00816B36"/>
    <w:rsid w:val="00817766"/>
    <w:rsid w:val="00817F8E"/>
    <w:rsid w:val="00820072"/>
    <w:rsid w:val="008203A5"/>
    <w:rsid w:val="008207D9"/>
    <w:rsid w:val="00820918"/>
    <w:rsid w:val="00820B04"/>
    <w:rsid w:val="00820B8C"/>
    <w:rsid w:val="00820DB6"/>
    <w:rsid w:val="00821124"/>
    <w:rsid w:val="00821632"/>
    <w:rsid w:val="008224B9"/>
    <w:rsid w:val="008228A5"/>
    <w:rsid w:val="008236D5"/>
    <w:rsid w:val="00823B0F"/>
    <w:rsid w:val="00823CE7"/>
    <w:rsid w:val="00824021"/>
    <w:rsid w:val="008246FA"/>
    <w:rsid w:val="008259E5"/>
    <w:rsid w:val="00826A03"/>
    <w:rsid w:val="00826A37"/>
    <w:rsid w:val="00826E12"/>
    <w:rsid w:val="00826ED3"/>
    <w:rsid w:val="00827CA3"/>
    <w:rsid w:val="00827FC1"/>
    <w:rsid w:val="00830086"/>
    <w:rsid w:val="00830361"/>
    <w:rsid w:val="008304D9"/>
    <w:rsid w:val="00831F0F"/>
    <w:rsid w:val="00833FAC"/>
    <w:rsid w:val="00834D57"/>
    <w:rsid w:val="00835550"/>
    <w:rsid w:val="00835A15"/>
    <w:rsid w:val="00835B8D"/>
    <w:rsid w:val="00835C12"/>
    <w:rsid w:val="008363A6"/>
    <w:rsid w:val="00836634"/>
    <w:rsid w:val="00836D4F"/>
    <w:rsid w:val="008376EC"/>
    <w:rsid w:val="008378C2"/>
    <w:rsid w:val="00837AA4"/>
    <w:rsid w:val="00837F43"/>
    <w:rsid w:val="00837FEF"/>
    <w:rsid w:val="00841474"/>
    <w:rsid w:val="00842AB6"/>
    <w:rsid w:val="00842B15"/>
    <w:rsid w:val="00842E5F"/>
    <w:rsid w:val="00842EFC"/>
    <w:rsid w:val="008431A7"/>
    <w:rsid w:val="0084325B"/>
    <w:rsid w:val="00843582"/>
    <w:rsid w:val="008437E4"/>
    <w:rsid w:val="008449AA"/>
    <w:rsid w:val="008449BE"/>
    <w:rsid w:val="00844E6A"/>
    <w:rsid w:val="008450E2"/>
    <w:rsid w:val="0084561E"/>
    <w:rsid w:val="008456D1"/>
    <w:rsid w:val="00846315"/>
    <w:rsid w:val="008479F2"/>
    <w:rsid w:val="0085013B"/>
    <w:rsid w:val="00850785"/>
    <w:rsid w:val="00850A7C"/>
    <w:rsid w:val="00850D6E"/>
    <w:rsid w:val="008515E6"/>
    <w:rsid w:val="00851BD0"/>
    <w:rsid w:val="00851D04"/>
    <w:rsid w:val="00851D5B"/>
    <w:rsid w:val="0085257E"/>
    <w:rsid w:val="00852BEB"/>
    <w:rsid w:val="008537E7"/>
    <w:rsid w:val="00853C29"/>
    <w:rsid w:val="00853D32"/>
    <w:rsid w:val="00853E3D"/>
    <w:rsid w:val="0085427C"/>
    <w:rsid w:val="008547BF"/>
    <w:rsid w:val="00854968"/>
    <w:rsid w:val="008551B2"/>
    <w:rsid w:val="00855472"/>
    <w:rsid w:val="0085595F"/>
    <w:rsid w:val="00856CE7"/>
    <w:rsid w:val="00860055"/>
    <w:rsid w:val="008601F4"/>
    <w:rsid w:val="00860404"/>
    <w:rsid w:val="008605BD"/>
    <w:rsid w:val="008609F8"/>
    <w:rsid w:val="00860A79"/>
    <w:rsid w:val="00861957"/>
    <w:rsid w:val="008623BC"/>
    <w:rsid w:val="00862A67"/>
    <w:rsid w:val="00862AF2"/>
    <w:rsid w:val="00862B7E"/>
    <w:rsid w:val="00862BE8"/>
    <w:rsid w:val="008632AC"/>
    <w:rsid w:val="008638EF"/>
    <w:rsid w:val="00864516"/>
    <w:rsid w:val="0086456F"/>
    <w:rsid w:val="00864B28"/>
    <w:rsid w:val="00864B50"/>
    <w:rsid w:val="00864EC9"/>
    <w:rsid w:val="00864F24"/>
    <w:rsid w:val="00865113"/>
    <w:rsid w:val="008661D0"/>
    <w:rsid w:val="00866255"/>
    <w:rsid w:val="00867799"/>
    <w:rsid w:val="00867A21"/>
    <w:rsid w:val="00867DB1"/>
    <w:rsid w:val="00870056"/>
    <w:rsid w:val="0087016E"/>
    <w:rsid w:val="00870D04"/>
    <w:rsid w:val="008715EC"/>
    <w:rsid w:val="00871939"/>
    <w:rsid w:val="008727AD"/>
    <w:rsid w:val="008729B1"/>
    <w:rsid w:val="00872C09"/>
    <w:rsid w:val="00872E45"/>
    <w:rsid w:val="00872F23"/>
    <w:rsid w:val="00873718"/>
    <w:rsid w:val="00873F54"/>
    <w:rsid w:val="00873FFC"/>
    <w:rsid w:val="008745DA"/>
    <w:rsid w:val="008748AF"/>
    <w:rsid w:val="00874910"/>
    <w:rsid w:val="0087498C"/>
    <w:rsid w:val="00875754"/>
    <w:rsid w:val="00875B1A"/>
    <w:rsid w:val="00875B3A"/>
    <w:rsid w:val="00876077"/>
    <w:rsid w:val="00876533"/>
    <w:rsid w:val="0087662A"/>
    <w:rsid w:val="00877797"/>
    <w:rsid w:val="0087794D"/>
    <w:rsid w:val="00880289"/>
    <w:rsid w:val="00880472"/>
    <w:rsid w:val="008808B4"/>
    <w:rsid w:val="00880EBE"/>
    <w:rsid w:val="00880EF8"/>
    <w:rsid w:val="00881509"/>
    <w:rsid w:val="00881C91"/>
    <w:rsid w:val="00881E19"/>
    <w:rsid w:val="00881E3E"/>
    <w:rsid w:val="00881ED9"/>
    <w:rsid w:val="00881F21"/>
    <w:rsid w:val="008820D4"/>
    <w:rsid w:val="00882D69"/>
    <w:rsid w:val="00882EF7"/>
    <w:rsid w:val="0088353B"/>
    <w:rsid w:val="00883AF2"/>
    <w:rsid w:val="00884217"/>
    <w:rsid w:val="00884628"/>
    <w:rsid w:val="00884C8D"/>
    <w:rsid w:val="0088539E"/>
    <w:rsid w:val="0088560F"/>
    <w:rsid w:val="0088566A"/>
    <w:rsid w:val="008856D6"/>
    <w:rsid w:val="00885AC5"/>
    <w:rsid w:val="008862B0"/>
    <w:rsid w:val="008876CE"/>
    <w:rsid w:val="008902D7"/>
    <w:rsid w:val="008904F1"/>
    <w:rsid w:val="0089076A"/>
    <w:rsid w:val="00890FDF"/>
    <w:rsid w:val="008911CD"/>
    <w:rsid w:val="00891234"/>
    <w:rsid w:val="0089154D"/>
    <w:rsid w:val="00891E07"/>
    <w:rsid w:val="008926CB"/>
    <w:rsid w:val="00892A85"/>
    <w:rsid w:val="00892D69"/>
    <w:rsid w:val="008932E0"/>
    <w:rsid w:val="008955BD"/>
    <w:rsid w:val="00895B7B"/>
    <w:rsid w:val="008967D7"/>
    <w:rsid w:val="00896873"/>
    <w:rsid w:val="008971F3"/>
    <w:rsid w:val="0089746A"/>
    <w:rsid w:val="00897ACC"/>
    <w:rsid w:val="00897F81"/>
    <w:rsid w:val="00897FB6"/>
    <w:rsid w:val="008A03CC"/>
    <w:rsid w:val="008A045E"/>
    <w:rsid w:val="008A0E2B"/>
    <w:rsid w:val="008A1384"/>
    <w:rsid w:val="008A1CFB"/>
    <w:rsid w:val="008A27C6"/>
    <w:rsid w:val="008A330C"/>
    <w:rsid w:val="008A3D8B"/>
    <w:rsid w:val="008A3E19"/>
    <w:rsid w:val="008A3EDF"/>
    <w:rsid w:val="008A4033"/>
    <w:rsid w:val="008A4EFE"/>
    <w:rsid w:val="008A639F"/>
    <w:rsid w:val="008A6827"/>
    <w:rsid w:val="008A6BC7"/>
    <w:rsid w:val="008A7232"/>
    <w:rsid w:val="008A78EA"/>
    <w:rsid w:val="008A7AC1"/>
    <w:rsid w:val="008A7AFB"/>
    <w:rsid w:val="008B0B68"/>
    <w:rsid w:val="008B0BFB"/>
    <w:rsid w:val="008B0E4A"/>
    <w:rsid w:val="008B123E"/>
    <w:rsid w:val="008B13F7"/>
    <w:rsid w:val="008B1608"/>
    <w:rsid w:val="008B1782"/>
    <w:rsid w:val="008B213D"/>
    <w:rsid w:val="008B22A6"/>
    <w:rsid w:val="008B2E8F"/>
    <w:rsid w:val="008B3130"/>
    <w:rsid w:val="008B3677"/>
    <w:rsid w:val="008B3E81"/>
    <w:rsid w:val="008B40D9"/>
    <w:rsid w:val="008B42F7"/>
    <w:rsid w:val="008B54AA"/>
    <w:rsid w:val="008B54E2"/>
    <w:rsid w:val="008B648E"/>
    <w:rsid w:val="008B64D5"/>
    <w:rsid w:val="008B690C"/>
    <w:rsid w:val="008B6B1F"/>
    <w:rsid w:val="008B6B6F"/>
    <w:rsid w:val="008B7645"/>
    <w:rsid w:val="008B7C69"/>
    <w:rsid w:val="008C0016"/>
    <w:rsid w:val="008C0018"/>
    <w:rsid w:val="008C0089"/>
    <w:rsid w:val="008C03C6"/>
    <w:rsid w:val="008C0D32"/>
    <w:rsid w:val="008C0DB5"/>
    <w:rsid w:val="008C17AE"/>
    <w:rsid w:val="008C23CA"/>
    <w:rsid w:val="008C25DD"/>
    <w:rsid w:val="008C3256"/>
    <w:rsid w:val="008C3B2B"/>
    <w:rsid w:val="008C3D01"/>
    <w:rsid w:val="008C3D48"/>
    <w:rsid w:val="008C4206"/>
    <w:rsid w:val="008C4DE4"/>
    <w:rsid w:val="008C51CE"/>
    <w:rsid w:val="008C5301"/>
    <w:rsid w:val="008C654B"/>
    <w:rsid w:val="008C6C8D"/>
    <w:rsid w:val="008C7306"/>
    <w:rsid w:val="008C7407"/>
    <w:rsid w:val="008C7693"/>
    <w:rsid w:val="008D13F9"/>
    <w:rsid w:val="008D1590"/>
    <w:rsid w:val="008D1BA1"/>
    <w:rsid w:val="008D1BC8"/>
    <w:rsid w:val="008D1BDB"/>
    <w:rsid w:val="008D1E21"/>
    <w:rsid w:val="008D1FB0"/>
    <w:rsid w:val="008D216F"/>
    <w:rsid w:val="008D22A6"/>
    <w:rsid w:val="008D23BA"/>
    <w:rsid w:val="008D2847"/>
    <w:rsid w:val="008D2AA8"/>
    <w:rsid w:val="008D33C7"/>
    <w:rsid w:val="008D396F"/>
    <w:rsid w:val="008D397D"/>
    <w:rsid w:val="008D3DC4"/>
    <w:rsid w:val="008D4971"/>
    <w:rsid w:val="008D593E"/>
    <w:rsid w:val="008D59E6"/>
    <w:rsid w:val="008D5AC7"/>
    <w:rsid w:val="008D6462"/>
    <w:rsid w:val="008D6840"/>
    <w:rsid w:val="008D6D8D"/>
    <w:rsid w:val="008D7D54"/>
    <w:rsid w:val="008E02EB"/>
    <w:rsid w:val="008E06A2"/>
    <w:rsid w:val="008E0847"/>
    <w:rsid w:val="008E12F8"/>
    <w:rsid w:val="008E1654"/>
    <w:rsid w:val="008E2694"/>
    <w:rsid w:val="008E2DA9"/>
    <w:rsid w:val="008E3C3C"/>
    <w:rsid w:val="008E3F8A"/>
    <w:rsid w:val="008E4A88"/>
    <w:rsid w:val="008E4BD4"/>
    <w:rsid w:val="008E4D88"/>
    <w:rsid w:val="008E5C59"/>
    <w:rsid w:val="008E6382"/>
    <w:rsid w:val="008E6D91"/>
    <w:rsid w:val="008E7230"/>
    <w:rsid w:val="008E75DC"/>
    <w:rsid w:val="008E7EC5"/>
    <w:rsid w:val="008E7EF9"/>
    <w:rsid w:val="008F0469"/>
    <w:rsid w:val="008F1609"/>
    <w:rsid w:val="008F2358"/>
    <w:rsid w:val="008F243F"/>
    <w:rsid w:val="008F3095"/>
    <w:rsid w:val="008F3162"/>
    <w:rsid w:val="008F337D"/>
    <w:rsid w:val="008F3C3F"/>
    <w:rsid w:val="008F3C91"/>
    <w:rsid w:val="008F3D85"/>
    <w:rsid w:val="008F3DF7"/>
    <w:rsid w:val="008F3F32"/>
    <w:rsid w:val="008F41D5"/>
    <w:rsid w:val="008F5D33"/>
    <w:rsid w:val="008F5DDE"/>
    <w:rsid w:val="008F5FDC"/>
    <w:rsid w:val="008F6002"/>
    <w:rsid w:val="008F6A4A"/>
    <w:rsid w:val="008F6AEA"/>
    <w:rsid w:val="008F6B0B"/>
    <w:rsid w:val="008F76CE"/>
    <w:rsid w:val="008F7D7F"/>
    <w:rsid w:val="00900077"/>
    <w:rsid w:val="009016C5"/>
    <w:rsid w:val="009018BE"/>
    <w:rsid w:val="009028FF"/>
    <w:rsid w:val="00902F04"/>
    <w:rsid w:val="00903256"/>
    <w:rsid w:val="00903D27"/>
    <w:rsid w:val="00903E64"/>
    <w:rsid w:val="00904090"/>
    <w:rsid w:val="00904447"/>
    <w:rsid w:val="009046EE"/>
    <w:rsid w:val="0090628A"/>
    <w:rsid w:val="00906307"/>
    <w:rsid w:val="009069EE"/>
    <w:rsid w:val="0090707F"/>
    <w:rsid w:val="009076A3"/>
    <w:rsid w:val="0090779C"/>
    <w:rsid w:val="0090789F"/>
    <w:rsid w:val="009078C1"/>
    <w:rsid w:val="00907AAF"/>
    <w:rsid w:val="00910653"/>
    <w:rsid w:val="00911083"/>
    <w:rsid w:val="00911A8A"/>
    <w:rsid w:val="00911FDC"/>
    <w:rsid w:val="00912FFC"/>
    <w:rsid w:val="00913370"/>
    <w:rsid w:val="0091338A"/>
    <w:rsid w:val="0091365B"/>
    <w:rsid w:val="00913BEB"/>
    <w:rsid w:val="00913C3D"/>
    <w:rsid w:val="009142F8"/>
    <w:rsid w:val="00914DDC"/>
    <w:rsid w:val="00914F53"/>
    <w:rsid w:val="009156FD"/>
    <w:rsid w:val="009157E2"/>
    <w:rsid w:val="00915AEA"/>
    <w:rsid w:val="00915C1A"/>
    <w:rsid w:val="00916DCC"/>
    <w:rsid w:val="00917334"/>
    <w:rsid w:val="009176A1"/>
    <w:rsid w:val="009177D8"/>
    <w:rsid w:val="00917957"/>
    <w:rsid w:val="00920141"/>
    <w:rsid w:val="009204C4"/>
    <w:rsid w:val="00920543"/>
    <w:rsid w:val="00920906"/>
    <w:rsid w:val="00920A54"/>
    <w:rsid w:val="00921213"/>
    <w:rsid w:val="00921A64"/>
    <w:rsid w:val="00921A83"/>
    <w:rsid w:val="00923718"/>
    <w:rsid w:val="009238A9"/>
    <w:rsid w:val="00923F3A"/>
    <w:rsid w:val="0092430A"/>
    <w:rsid w:val="009246CD"/>
    <w:rsid w:val="0092470F"/>
    <w:rsid w:val="00924757"/>
    <w:rsid w:val="00924982"/>
    <w:rsid w:val="00924E21"/>
    <w:rsid w:val="009260C3"/>
    <w:rsid w:val="00926798"/>
    <w:rsid w:val="00927568"/>
    <w:rsid w:val="009276B1"/>
    <w:rsid w:val="00927887"/>
    <w:rsid w:val="00927D98"/>
    <w:rsid w:val="00930228"/>
    <w:rsid w:val="00930967"/>
    <w:rsid w:val="00931123"/>
    <w:rsid w:val="00931144"/>
    <w:rsid w:val="00931164"/>
    <w:rsid w:val="009312DF"/>
    <w:rsid w:val="00931E0A"/>
    <w:rsid w:val="00931EFC"/>
    <w:rsid w:val="00932027"/>
    <w:rsid w:val="00932040"/>
    <w:rsid w:val="009324BD"/>
    <w:rsid w:val="00932B67"/>
    <w:rsid w:val="009330A8"/>
    <w:rsid w:val="009332CE"/>
    <w:rsid w:val="00933823"/>
    <w:rsid w:val="009339A8"/>
    <w:rsid w:val="00935196"/>
    <w:rsid w:val="00935476"/>
    <w:rsid w:val="00935B0C"/>
    <w:rsid w:val="009363A0"/>
    <w:rsid w:val="00936481"/>
    <w:rsid w:val="00936A6E"/>
    <w:rsid w:val="009372A5"/>
    <w:rsid w:val="00940606"/>
    <w:rsid w:val="00940B38"/>
    <w:rsid w:val="0094180F"/>
    <w:rsid w:val="0094198D"/>
    <w:rsid w:val="00941BFD"/>
    <w:rsid w:val="00941F5F"/>
    <w:rsid w:val="009430D9"/>
    <w:rsid w:val="009432CA"/>
    <w:rsid w:val="00944878"/>
    <w:rsid w:val="00944E77"/>
    <w:rsid w:val="00945189"/>
    <w:rsid w:val="009453F0"/>
    <w:rsid w:val="009458B1"/>
    <w:rsid w:val="009465A9"/>
    <w:rsid w:val="00946A9D"/>
    <w:rsid w:val="00946CC4"/>
    <w:rsid w:val="00946D0D"/>
    <w:rsid w:val="0094708C"/>
    <w:rsid w:val="009501A1"/>
    <w:rsid w:val="0095046E"/>
    <w:rsid w:val="00950A17"/>
    <w:rsid w:val="00951B2B"/>
    <w:rsid w:val="00951C27"/>
    <w:rsid w:val="00951C33"/>
    <w:rsid w:val="00951CFD"/>
    <w:rsid w:val="00952344"/>
    <w:rsid w:val="00952584"/>
    <w:rsid w:val="00952E2D"/>
    <w:rsid w:val="009536A0"/>
    <w:rsid w:val="00953CB0"/>
    <w:rsid w:val="00953EE5"/>
    <w:rsid w:val="00954411"/>
    <w:rsid w:val="0095513B"/>
    <w:rsid w:val="00955391"/>
    <w:rsid w:val="0095546A"/>
    <w:rsid w:val="0095650F"/>
    <w:rsid w:val="0095771D"/>
    <w:rsid w:val="00960359"/>
    <w:rsid w:val="0096065B"/>
    <w:rsid w:val="00960E57"/>
    <w:rsid w:val="009622EF"/>
    <w:rsid w:val="0096288E"/>
    <w:rsid w:val="00962F71"/>
    <w:rsid w:val="0096343F"/>
    <w:rsid w:val="00963A84"/>
    <w:rsid w:val="00963CF6"/>
    <w:rsid w:val="00963F21"/>
    <w:rsid w:val="00963F2D"/>
    <w:rsid w:val="00964056"/>
    <w:rsid w:val="00964470"/>
    <w:rsid w:val="00964BF0"/>
    <w:rsid w:val="009652BB"/>
    <w:rsid w:val="00965491"/>
    <w:rsid w:val="00966CB7"/>
    <w:rsid w:val="00966EA9"/>
    <w:rsid w:val="00967958"/>
    <w:rsid w:val="00970279"/>
    <w:rsid w:val="00971EF9"/>
    <w:rsid w:val="0097215A"/>
    <w:rsid w:val="00973DD2"/>
    <w:rsid w:val="00973EC8"/>
    <w:rsid w:val="0097442D"/>
    <w:rsid w:val="00975020"/>
    <w:rsid w:val="0097568C"/>
    <w:rsid w:val="0097584F"/>
    <w:rsid w:val="00975BF7"/>
    <w:rsid w:val="00975C1A"/>
    <w:rsid w:val="00976846"/>
    <w:rsid w:val="009770AB"/>
    <w:rsid w:val="00977522"/>
    <w:rsid w:val="00980006"/>
    <w:rsid w:val="0098008F"/>
    <w:rsid w:val="00980853"/>
    <w:rsid w:val="00980D5A"/>
    <w:rsid w:val="00981FC9"/>
    <w:rsid w:val="009822A9"/>
    <w:rsid w:val="00982CD2"/>
    <w:rsid w:val="0098349D"/>
    <w:rsid w:val="009839A6"/>
    <w:rsid w:val="00983A26"/>
    <w:rsid w:val="00983B97"/>
    <w:rsid w:val="00983DD4"/>
    <w:rsid w:val="0098418E"/>
    <w:rsid w:val="0098475E"/>
    <w:rsid w:val="00984809"/>
    <w:rsid w:val="00985009"/>
    <w:rsid w:val="009855BD"/>
    <w:rsid w:val="00985664"/>
    <w:rsid w:val="0098611F"/>
    <w:rsid w:val="00986916"/>
    <w:rsid w:val="009869C1"/>
    <w:rsid w:val="00986BB9"/>
    <w:rsid w:val="00987033"/>
    <w:rsid w:val="00987EBF"/>
    <w:rsid w:val="00990563"/>
    <w:rsid w:val="009907BD"/>
    <w:rsid w:val="00990A90"/>
    <w:rsid w:val="009917BA"/>
    <w:rsid w:val="009918CA"/>
    <w:rsid w:val="009918D3"/>
    <w:rsid w:val="00992410"/>
    <w:rsid w:val="009925CE"/>
    <w:rsid w:val="00992FCF"/>
    <w:rsid w:val="00993356"/>
    <w:rsid w:val="009938AC"/>
    <w:rsid w:val="00993BC2"/>
    <w:rsid w:val="00993E3F"/>
    <w:rsid w:val="00993F3A"/>
    <w:rsid w:val="009940AF"/>
    <w:rsid w:val="009941C7"/>
    <w:rsid w:val="00994E77"/>
    <w:rsid w:val="00995487"/>
    <w:rsid w:val="00995C6C"/>
    <w:rsid w:val="00995CBB"/>
    <w:rsid w:val="0099657B"/>
    <w:rsid w:val="00996B19"/>
    <w:rsid w:val="00997019"/>
    <w:rsid w:val="00997B55"/>
    <w:rsid w:val="009A0394"/>
    <w:rsid w:val="009A03A2"/>
    <w:rsid w:val="009A03D8"/>
    <w:rsid w:val="009A0458"/>
    <w:rsid w:val="009A0592"/>
    <w:rsid w:val="009A0C4F"/>
    <w:rsid w:val="009A0ED8"/>
    <w:rsid w:val="009A1AD6"/>
    <w:rsid w:val="009A1D2E"/>
    <w:rsid w:val="009A1E0A"/>
    <w:rsid w:val="009A2BC6"/>
    <w:rsid w:val="009A2FAC"/>
    <w:rsid w:val="009A3167"/>
    <w:rsid w:val="009A322F"/>
    <w:rsid w:val="009A350D"/>
    <w:rsid w:val="009A3A89"/>
    <w:rsid w:val="009A3B7F"/>
    <w:rsid w:val="009A3C0A"/>
    <w:rsid w:val="009A3CC2"/>
    <w:rsid w:val="009A437A"/>
    <w:rsid w:val="009A5C08"/>
    <w:rsid w:val="009A64B1"/>
    <w:rsid w:val="009A6832"/>
    <w:rsid w:val="009A6839"/>
    <w:rsid w:val="009A6880"/>
    <w:rsid w:val="009A74B7"/>
    <w:rsid w:val="009A757D"/>
    <w:rsid w:val="009A757F"/>
    <w:rsid w:val="009A78D7"/>
    <w:rsid w:val="009A7940"/>
    <w:rsid w:val="009A7DC9"/>
    <w:rsid w:val="009B0821"/>
    <w:rsid w:val="009B0AC0"/>
    <w:rsid w:val="009B19A4"/>
    <w:rsid w:val="009B1DC2"/>
    <w:rsid w:val="009B1E6B"/>
    <w:rsid w:val="009B2921"/>
    <w:rsid w:val="009B33EA"/>
    <w:rsid w:val="009B472C"/>
    <w:rsid w:val="009B48F9"/>
    <w:rsid w:val="009B4905"/>
    <w:rsid w:val="009B4958"/>
    <w:rsid w:val="009B4FE3"/>
    <w:rsid w:val="009B5938"/>
    <w:rsid w:val="009B5FCB"/>
    <w:rsid w:val="009B623A"/>
    <w:rsid w:val="009B66C0"/>
    <w:rsid w:val="009C088E"/>
    <w:rsid w:val="009C12C0"/>
    <w:rsid w:val="009C1493"/>
    <w:rsid w:val="009C1ADF"/>
    <w:rsid w:val="009C1F74"/>
    <w:rsid w:val="009C254E"/>
    <w:rsid w:val="009C3091"/>
    <w:rsid w:val="009C33BC"/>
    <w:rsid w:val="009C33E8"/>
    <w:rsid w:val="009C3AA1"/>
    <w:rsid w:val="009C44A6"/>
    <w:rsid w:val="009C44E5"/>
    <w:rsid w:val="009C4537"/>
    <w:rsid w:val="009C4A5A"/>
    <w:rsid w:val="009C4D4D"/>
    <w:rsid w:val="009C53E4"/>
    <w:rsid w:val="009C5901"/>
    <w:rsid w:val="009C5986"/>
    <w:rsid w:val="009C6A3D"/>
    <w:rsid w:val="009C6E9F"/>
    <w:rsid w:val="009C72CE"/>
    <w:rsid w:val="009C72D3"/>
    <w:rsid w:val="009C79F3"/>
    <w:rsid w:val="009C7E20"/>
    <w:rsid w:val="009D09B0"/>
    <w:rsid w:val="009D0D7E"/>
    <w:rsid w:val="009D1422"/>
    <w:rsid w:val="009D1843"/>
    <w:rsid w:val="009D19C0"/>
    <w:rsid w:val="009D1DC1"/>
    <w:rsid w:val="009D23DC"/>
    <w:rsid w:val="009D3070"/>
    <w:rsid w:val="009D3364"/>
    <w:rsid w:val="009D3A63"/>
    <w:rsid w:val="009D3D3F"/>
    <w:rsid w:val="009D428C"/>
    <w:rsid w:val="009D48A8"/>
    <w:rsid w:val="009D5040"/>
    <w:rsid w:val="009D5245"/>
    <w:rsid w:val="009D58C5"/>
    <w:rsid w:val="009D5CAD"/>
    <w:rsid w:val="009D6D73"/>
    <w:rsid w:val="009D71C0"/>
    <w:rsid w:val="009D7343"/>
    <w:rsid w:val="009D74AE"/>
    <w:rsid w:val="009D754D"/>
    <w:rsid w:val="009D7860"/>
    <w:rsid w:val="009D7B7E"/>
    <w:rsid w:val="009D7BB8"/>
    <w:rsid w:val="009E0402"/>
    <w:rsid w:val="009E05CB"/>
    <w:rsid w:val="009E06B9"/>
    <w:rsid w:val="009E0722"/>
    <w:rsid w:val="009E0C13"/>
    <w:rsid w:val="009E0CF7"/>
    <w:rsid w:val="009E0D32"/>
    <w:rsid w:val="009E18AC"/>
    <w:rsid w:val="009E1E2F"/>
    <w:rsid w:val="009E278E"/>
    <w:rsid w:val="009E2E75"/>
    <w:rsid w:val="009E325B"/>
    <w:rsid w:val="009E35BB"/>
    <w:rsid w:val="009E367A"/>
    <w:rsid w:val="009E3777"/>
    <w:rsid w:val="009E3A63"/>
    <w:rsid w:val="009E3D8F"/>
    <w:rsid w:val="009E57B3"/>
    <w:rsid w:val="009E59D1"/>
    <w:rsid w:val="009E5C43"/>
    <w:rsid w:val="009E7D81"/>
    <w:rsid w:val="009F02BC"/>
    <w:rsid w:val="009F0878"/>
    <w:rsid w:val="009F0E13"/>
    <w:rsid w:val="009F124C"/>
    <w:rsid w:val="009F190D"/>
    <w:rsid w:val="009F1A3C"/>
    <w:rsid w:val="009F20BF"/>
    <w:rsid w:val="009F2493"/>
    <w:rsid w:val="009F26D1"/>
    <w:rsid w:val="009F2F69"/>
    <w:rsid w:val="009F3E7B"/>
    <w:rsid w:val="009F4B8B"/>
    <w:rsid w:val="009F54DD"/>
    <w:rsid w:val="009F558E"/>
    <w:rsid w:val="009F5EC4"/>
    <w:rsid w:val="009F641C"/>
    <w:rsid w:val="009F69B0"/>
    <w:rsid w:val="00A00366"/>
    <w:rsid w:val="00A009C0"/>
    <w:rsid w:val="00A01DBA"/>
    <w:rsid w:val="00A0263E"/>
    <w:rsid w:val="00A02BE7"/>
    <w:rsid w:val="00A02E43"/>
    <w:rsid w:val="00A032E1"/>
    <w:rsid w:val="00A0340D"/>
    <w:rsid w:val="00A03C18"/>
    <w:rsid w:val="00A04038"/>
    <w:rsid w:val="00A04663"/>
    <w:rsid w:val="00A04CF2"/>
    <w:rsid w:val="00A04F00"/>
    <w:rsid w:val="00A05691"/>
    <w:rsid w:val="00A0591A"/>
    <w:rsid w:val="00A06219"/>
    <w:rsid w:val="00A063CD"/>
    <w:rsid w:val="00A06CAB"/>
    <w:rsid w:val="00A07D93"/>
    <w:rsid w:val="00A07E0C"/>
    <w:rsid w:val="00A10827"/>
    <w:rsid w:val="00A10D50"/>
    <w:rsid w:val="00A11062"/>
    <w:rsid w:val="00A11740"/>
    <w:rsid w:val="00A12305"/>
    <w:rsid w:val="00A12B07"/>
    <w:rsid w:val="00A12EC3"/>
    <w:rsid w:val="00A1371F"/>
    <w:rsid w:val="00A14192"/>
    <w:rsid w:val="00A148CB"/>
    <w:rsid w:val="00A153C7"/>
    <w:rsid w:val="00A158DF"/>
    <w:rsid w:val="00A15A16"/>
    <w:rsid w:val="00A170DE"/>
    <w:rsid w:val="00A17370"/>
    <w:rsid w:val="00A175A8"/>
    <w:rsid w:val="00A20046"/>
    <w:rsid w:val="00A21227"/>
    <w:rsid w:val="00A21630"/>
    <w:rsid w:val="00A21869"/>
    <w:rsid w:val="00A21F36"/>
    <w:rsid w:val="00A22313"/>
    <w:rsid w:val="00A2275A"/>
    <w:rsid w:val="00A2277C"/>
    <w:rsid w:val="00A22ACE"/>
    <w:rsid w:val="00A22E02"/>
    <w:rsid w:val="00A23272"/>
    <w:rsid w:val="00A2372E"/>
    <w:rsid w:val="00A23974"/>
    <w:rsid w:val="00A23C80"/>
    <w:rsid w:val="00A2400D"/>
    <w:rsid w:val="00A24117"/>
    <w:rsid w:val="00A244F9"/>
    <w:rsid w:val="00A246E6"/>
    <w:rsid w:val="00A2508B"/>
    <w:rsid w:val="00A251DA"/>
    <w:rsid w:val="00A25535"/>
    <w:rsid w:val="00A259F2"/>
    <w:rsid w:val="00A25AEE"/>
    <w:rsid w:val="00A25FB2"/>
    <w:rsid w:val="00A261FC"/>
    <w:rsid w:val="00A27312"/>
    <w:rsid w:val="00A273ED"/>
    <w:rsid w:val="00A27850"/>
    <w:rsid w:val="00A27E4D"/>
    <w:rsid w:val="00A30F65"/>
    <w:rsid w:val="00A310CA"/>
    <w:rsid w:val="00A317D6"/>
    <w:rsid w:val="00A31DB5"/>
    <w:rsid w:val="00A320B7"/>
    <w:rsid w:val="00A326E3"/>
    <w:rsid w:val="00A327D9"/>
    <w:rsid w:val="00A328A9"/>
    <w:rsid w:val="00A32F4E"/>
    <w:rsid w:val="00A33107"/>
    <w:rsid w:val="00A33B5A"/>
    <w:rsid w:val="00A34070"/>
    <w:rsid w:val="00A3553F"/>
    <w:rsid w:val="00A35A63"/>
    <w:rsid w:val="00A35B6D"/>
    <w:rsid w:val="00A35C09"/>
    <w:rsid w:val="00A35C68"/>
    <w:rsid w:val="00A35D13"/>
    <w:rsid w:val="00A3625C"/>
    <w:rsid w:val="00A368F3"/>
    <w:rsid w:val="00A36C0E"/>
    <w:rsid w:val="00A36FCF"/>
    <w:rsid w:val="00A37D38"/>
    <w:rsid w:val="00A37F3D"/>
    <w:rsid w:val="00A4088F"/>
    <w:rsid w:val="00A40DF8"/>
    <w:rsid w:val="00A4137D"/>
    <w:rsid w:val="00A417A7"/>
    <w:rsid w:val="00A41882"/>
    <w:rsid w:val="00A420B7"/>
    <w:rsid w:val="00A4232D"/>
    <w:rsid w:val="00A42F41"/>
    <w:rsid w:val="00A42FE1"/>
    <w:rsid w:val="00A43399"/>
    <w:rsid w:val="00A438CC"/>
    <w:rsid w:val="00A4410F"/>
    <w:rsid w:val="00A447E5"/>
    <w:rsid w:val="00A44B75"/>
    <w:rsid w:val="00A44D7D"/>
    <w:rsid w:val="00A4574A"/>
    <w:rsid w:val="00A45A6C"/>
    <w:rsid w:val="00A46746"/>
    <w:rsid w:val="00A473BD"/>
    <w:rsid w:val="00A476E2"/>
    <w:rsid w:val="00A47E25"/>
    <w:rsid w:val="00A50058"/>
    <w:rsid w:val="00A50C69"/>
    <w:rsid w:val="00A50E16"/>
    <w:rsid w:val="00A5126C"/>
    <w:rsid w:val="00A51EE7"/>
    <w:rsid w:val="00A51FBF"/>
    <w:rsid w:val="00A52681"/>
    <w:rsid w:val="00A5301B"/>
    <w:rsid w:val="00A53054"/>
    <w:rsid w:val="00A53271"/>
    <w:rsid w:val="00A53B59"/>
    <w:rsid w:val="00A5452E"/>
    <w:rsid w:val="00A5470F"/>
    <w:rsid w:val="00A55684"/>
    <w:rsid w:val="00A559BB"/>
    <w:rsid w:val="00A55A40"/>
    <w:rsid w:val="00A55B3A"/>
    <w:rsid w:val="00A55C0C"/>
    <w:rsid w:val="00A55E4A"/>
    <w:rsid w:val="00A55F88"/>
    <w:rsid w:val="00A56CFA"/>
    <w:rsid w:val="00A57E98"/>
    <w:rsid w:val="00A57F2D"/>
    <w:rsid w:val="00A60477"/>
    <w:rsid w:val="00A606E9"/>
    <w:rsid w:val="00A60ABA"/>
    <w:rsid w:val="00A6129E"/>
    <w:rsid w:val="00A618D1"/>
    <w:rsid w:val="00A61A79"/>
    <w:rsid w:val="00A61C3B"/>
    <w:rsid w:val="00A62A23"/>
    <w:rsid w:val="00A64911"/>
    <w:rsid w:val="00A64992"/>
    <w:rsid w:val="00A6519B"/>
    <w:rsid w:val="00A656FC"/>
    <w:rsid w:val="00A65BEE"/>
    <w:rsid w:val="00A67A75"/>
    <w:rsid w:val="00A70198"/>
    <w:rsid w:val="00A71C2A"/>
    <w:rsid w:val="00A71D58"/>
    <w:rsid w:val="00A71DA6"/>
    <w:rsid w:val="00A7361A"/>
    <w:rsid w:val="00A73719"/>
    <w:rsid w:val="00A73B63"/>
    <w:rsid w:val="00A74287"/>
    <w:rsid w:val="00A74422"/>
    <w:rsid w:val="00A75859"/>
    <w:rsid w:val="00A75DAF"/>
    <w:rsid w:val="00A7606E"/>
    <w:rsid w:val="00A76C45"/>
    <w:rsid w:val="00A77058"/>
    <w:rsid w:val="00A77919"/>
    <w:rsid w:val="00A77DDA"/>
    <w:rsid w:val="00A80460"/>
    <w:rsid w:val="00A8069D"/>
    <w:rsid w:val="00A8086E"/>
    <w:rsid w:val="00A808C9"/>
    <w:rsid w:val="00A80A3D"/>
    <w:rsid w:val="00A81F44"/>
    <w:rsid w:val="00A820E8"/>
    <w:rsid w:val="00A821FA"/>
    <w:rsid w:val="00A822D2"/>
    <w:rsid w:val="00A82456"/>
    <w:rsid w:val="00A82505"/>
    <w:rsid w:val="00A826E1"/>
    <w:rsid w:val="00A82952"/>
    <w:rsid w:val="00A83016"/>
    <w:rsid w:val="00A83212"/>
    <w:rsid w:val="00A84B30"/>
    <w:rsid w:val="00A858F7"/>
    <w:rsid w:val="00A85D47"/>
    <w:rsid w:val="00A865EF"/>
    <w:rsid w:val="00A8684E"/>
    <w:rsid w:val="00A86A48"/>
    <w:rsid w:val="00A86E1D"/>
    <w:rsid w:val="00A87C32"/>
    <w:rsid w:val="00A90401"/>
    <w:rsid w:val="00A90529"/>
    <w:rsid w:val="00A911BB"/>
    <w:rsid w:val="00A9186E"/>
    <w:rsid w:val="00A91A3C"/>
    <w:rsid w:val="00A91DB7"/>
    <w:rsid w:val="00A91EDA"/>
    <w:rsid w:val="00A93477"/>
    <w:rsid w:val="00A93978"/>
    <w:rsid w:val="00A93C91"/>
    <w:rsid w:val="00A94151"/>
    <w:rsid w:val="00A94730"/>
    <w:rsid w:val="00A94E75"/>
    <w:rsid w:val="00A95B9B"/>
    <w:rsid w:val="00A95EB3"/>
    <w:rsid w:val="00A962AB"/>
    <w:rsid w:val="00A97F9C"/>
    <w:rsid w:val="00A97FF1"/>
    <w:rsid w:val="00AA0B39"/>
    <w:rsid w:val="00AA15A8"/>
    <w:rsid w:val="00AA1716"/>
    <w:rsid w:val="00AA24E4"/>
    <w:rsid w:val="00AA25B5"/>
    <w:rsid w:val="00AA3657"/>
    <w:rsid w:val="00AA3A0A"/>
    <w:rsid w:val="00AA4080"/>
    <w:rsid w:val="00AA4403"/>
    <w:rsid w:val="00AA4874"/>
    <w:rsid w:val="00AA496E"/>
    <w:rsid w:val="00AA4BDD"/>
    <w:rsid w:val="00AA602C"/>
    <w:rsid w:val="00AA694D"/>
    <w:rsid w:val="00AA6B88"/>
    <w:rsid w:val="00AA6BF2"/>
    <w:rsid w:val="00AA6EA0"/>
    <w:rsid w:val="00AA74A1"/>
    <w:rsid w:val="00AA74EB"/>
    <w:rsid w:val="00AA752F"/>
    <w:rsid w:val="00AA7723"/>
    <w:rsid w:val="00AA7B1B"/>
    <w:rsid w:val="00AB0045"/>
    <w:rsid w:val="00AB0247"/>
    <w:rsid w:val="00AB04E2"/>
    <w:rsid w:val="00AB0A5E"/>
    <w:rsid w:val="00AB0C04"/>
    <w:rsid w:val="00AB1297"/>
    <w:rsid w:val="00AB1A15"/>
    <w:rsid w:val="00AB23AD"/>
    <w:rsid w:val="00AB23BD"/>
    <w:rsid w:val="00AB2A22"/>
    <w:rsid w:val="00AB2C42"/>
    <w:rsid w:val="00AB4C5E"/>
    <w:rsid w:val="00AB4D59"/>
    <w:rsid w:val="00AB4F86"/>
    <w:rsid w:val="00AB50B3"/>
    <w:rsid w:val="00AB59EE"/>
    <w:rsid w:val="00AB5F48"/>
    <w:rsid w:val="00AB5FE6"/>
    <w:rsid w:val="00AB6346"/>
    <w:rsid w:val="00AB6F89"/>
    <w:rsid w:val="00AB76AA"/>
    <w:rsid w:val="00AC0CC1"/>
    <w:rsid w:val="00AC0E45"/>
    <w:rsid w:val="00AC1641"/>
    <w:rsid w:val="00AC224E"/>
    <w:rsid w:val="00AC28D5"/>
    <w:rsid w:val="00AC2957"/>
    <w:rsid w:val="00AC2999"/>
    <w:rsid w:val="00AC2D69"/>
    <w:rsid w:val="00AC2DAF"/>
    <w:rsid w:val="00AC33DC"/>
    <w:rsid w:val="00AC3579"/>
    <w:rsid w:val="00AC3959"/>
    <w:rsid w:val="00AC45B1"/>
    <w:rsid w:val="00AC45B6"/>
    <w:rsid w:val="00AC4608"/>
    <w:rsid w:val="00AC4746"/>
    <w:rsid w:val="00AC4753"/>
    <w:rsid w:val="00AC4842"/>
    <w:rsid w:val="00AC58FC"/>
    <w:rsid w:val="00AC5F2B"/>
    <w:rsid w:val="00AC5FC4"/>
    <w:rsid w:val="00AC6005"/>
    <w:rsid w:val="00AC63A1"/>
    <w:rsid w:val="00AC63F4"/>
    <w:rsid w:val="00AC6558"/>
    <w:rsid w:val="00AC6A61"/>
    <w:rsid w:val="00AC6C20"/>
    <w:rsid w:val="00AC7B48"/>
    <w:rsid w:val="00AD067C"/>
    <w:rsid w:val="00AD0998"/>
    <w:rsid w:val="00AD1F53"/>
    <w:rsid w:val="00AD47E3"/>
    <w:rsid w:val="00AD4A9B"/>
    <w:rsid w:val="00AD4AE9"/>
    <w:rsid w:val="00AD4C79"/>
    <w:rsid w:val="00AD61C7"/>
    <w:rsid w:val="00AD6520"/>
    <w:rsid w:val="00AE09ED"/>
    <w:rsid w:val="00AE0C81"/>
    <w:rsid w:val="00AE1565"/>
    <w:rsid w:val="00AE1F18"/>
    <w:rsid w:val="00AE1FDF"/>
    <w:rsid w:val="00AE25F5"/>
    <w:rsid w:val="00AE2B90"/>
    <w:rsid w:val="00AE341A"/>
    <w:rsid w:val="00AE358E"/>
    <w:rsid w:val="00AE376D"/>
    <w:rsid w:val="00AE3C63"/>
    <w:rsid w:val="00AE3FC0"/>
    <w:rsid w:val="00AE4A3F"/>
    <w:rsid w:val="00AE4A4C"/>
    <w:rsid w:val="00AE4FC5"/>
    <w:rsid w:val="00AE50B8"/>
    <w:rsid w:val="00AE582F"/>
    <w:rsid w:val="00AE5843"/>
    <w:rsid w:val="00AE5EA1"/>
    <w:rsid w:val="00AE6BD0"/>
    <w:rsid w:val="00AE7225"/>
    <w:rsid w:val="00AE74E7"/>
    <w:rsid w:val="00AF00BF"/>
    <w:rsid w:val="00AF0323"/>
    <w:rsid w:val="00AF0529"/>
    <w:rsid w:val="00AF13E2"/>
    <w:rsid w:val="00AF162A"/>
    <w:rsid w:val="00AF4E39"/>
    <w:rsid w:val="00AF5246"/>
    <w:rsid w:val="00AF52B1"/>
    <w:rsid w:val="00AF5AC6"/>
    <w:rsid w:val="00AF5BE1"/>
    <w:rsid w:val="00AF753C"/>
    <w:rsid w:val="00AF761C"/>
    <w:rsid w:val="00AF77EC"/>
    <w:rsid w:val="00AF7A8B"/>
    <w:rsid w:val="00B007D2"/>
    <w:rsid w:val="00B0086C"/>
    <w:rsid w:val="00B00B90"/>
    <w:rsid w:val="00B00F63"/>
    <w:rsid w:val="00B0122F"/>
    <w:rsid w:val="00B013EE"/>
    <w:rsid w:val="00B019D7"/>
    <w:rsid w:val="00B027DF"/>
    <w:rsid w:val="00B02B50"/>
    <w:rsid w:val="00B04650"/>
    <w:rsid w:val="00B04BE8"/>
    <w:rsid w:val="00B04D3B"/>
    <w:rsid w:val="00B055F0"/>
    <w:rsid w:val="00B058F7"/>
    <w:rsid w:val="00B0629C"/>
    <w:rsid w:val="00B06EB7"/>
    <w:rsid w:val="00B07488"/>
    <w:rsid w:val="00B074F4"/>
    <w:rsid w:val="00B07857"/>
    <w:rsid w:val="00B07E88"/>
    <w:rsid w:val="00B105D4"/>
    <w:rsid w:val="00B114B4"/>
    <w:rsid w:val="00B11A75"/>
    <w:rsid w:val="00B11AED"/>
    <w:rsid w:val="00B11DA8"/>
    <w:rsid w:val="00B12497"/>
    <w:rsid w:val="00B134D3"/>
    <w:rsid w:val="00B135F7"/>
    <w:rsid w:val="00B13F33"/>
    <w:rsid w:val="00B14050"/>
    <w:rsid w:val="00B143EC"/>
    <w:rsid w:val="00B14461"/>
    <w:rsid w:val="00B14562"/>
    <w:rsid w:val="00B15112"/>
    <w:rsid w:val="00B152FE"/>
    <w:rsid w:val="00B1560D"/>
    <w:rsid w:val="00B156FC"/>
    <w:rsid w:val="00B1580F"/>
    <w:rsid w:val="00B16497"/>
    <w:rsid w:val="00B16A00"/>
    <w:rsid w:val="00B16C6C"/>
    <w:rsid w:val="00B16DC4"/>
    <w:rsid w:val="00B16E1E"/>
    <w:rsid w:val="00B16E86"/>
    <w:rsid w:val="00B20885"/>
    <w:rsid w:val="00B2132E"/>
    <w:rsid w:val="00B21E5D"/>
    <w:rsid w:val="00B21F29"/>
    <w:rsid w:val="00B22085"/>
    <w:rsid w:val="00B22413"/>
    <w:rsid w:val="00B228FA"/>
    <w:rsid w:val="00B22F7F"/>
    <w:rsid w:val="00B2411B"/>
    <w:rsid w:val="00B2440E"/>
    <w:rsid w:val="00B24463"/>
    <w:rsid w:val="00B24474"/>
    <w:rsid w:val="00B25AA1"/>
    <w:rsid w:val="00B26197"/>
    <w:rsid w:val="00B26775"/>
    <w:rsid w:val="00B26D25"/>
    <w:rsid w:val="00B271D6"/>
    <w:rsid w:val="00B2722A"/>
    <w:rsid w:val="00B2777E"/>
    <w:rsid w:val="00B3081A"/>
    <w:rsid w:val="00B30A75"/>
    <w:rsid w:val="00B31A61"/>
    <w:rsid w:val="00B31CC1"/>
    <w:rsid w:val="00B32080"/>
    <w:rsid w:val="00B321DB"/>
    <w:rsid w:val="00B32397"/>
    <w:rsid w:val="00B3255D"/>
    <w:rsid w:val="00B330D8"/>
    <w:rsid w:val="00B33317"/>
    <w:rsid w:val="00B333DB"/>
    <w:rsid w:val="00B33498"/>
    <w:rsid w:val="00B337C3"/>
    <w:rsid w:val="00B33E77"/>
    <w:rsid w:val="00B33FB2"/>
    <w:rsid w:val="00B34D15"/>
    <w:rsid w:val="00B34EB9"/>
    <w:rsid w:val="00B34FEA"/>
    <w:rsid w:val="00B350DB"/>
    <w:rsid w:val="00B35BFF"/>
    <w:rsid w:val="00B35C7A"/>
    <w:rsid w:val="00B3650C"/>
    <w:rsid w:val="00B37C35"/>
    <w:rsid w:val="00B37E32"/>
    <w:rsid w:val="00B37FAB"/>
    <w:rsid w:val="00B4037C"/>
    <w:rsid w:val="00B4060F"/>
    <w:rsid w:val="00B41449"/>
    <w:rsid w:val="00B42091"/>
    <w:rsid w:val="00B4217A"/>
    <w:rsid w:val="00B42704"/>
    <w:rsid w:val="00B42FA6"/>
    <w:rsid w:val="00B4313E"/>
    <w:rsid w:val="00B43220"/>
    <w:rsid w:val="00B4362B"/>
    <w:rsid w:val="00B437D4"/>
    <w:rsid w:val="00B43DF2"/>
    <w:rsid w:val="00B445CA"/>
    <w:rsid w:val="00B44655"/>
    <w:rsid w:val="00B44D70"/>
    <w:rsid w:val="00B44FB4"/>
    <w:rsid w:val="00B45437"/>
    <w:rsid w:val="00B45AE4"/>
    <w:rsid w:val="00B45C6C"/>
    <w:rsid w:val="00B460E4"/>
    <w:rsid w:val="00B47D1D"/>
    <w:rsid w:val="00B5008E"/>
    <w:rsid w:val="00B50764"/>
    <w:rsid w:val="00B50FB2"/>
    <w:rsid w:val="00B5120A"/>
    <w:rsid w:val="00B52947"/>
    <w:rsid w:val="00B53096"/>
    <w:rsid w:val="00B53319"/>
    <w:rsid w:val="00B54266"/>
    <w:rsid w:val="00B542C0"/>
    <w:rsid w:val="00B55103"/>
    <w:rsid w:val="00B56679"/>
    <w:rsid w:val="00B56A54"/>
    <w:rsid w:val="00B57155"/>
    <w:rsid w:val="00B572DB"/>
    <w:rsid w:val="00B57577"/>
    <w:rsid w:val="00B57732"/>
    <w:rsid w:val="00B578D1"/>
    <w:rsid w:val="00B5793D"/>
    <w:rsid w:val="00B57DCC"/>
    <w:rsid w:val="00B60331"/>
    <w:rsid w:val="00B61034"/>
    <w:rsid w:val="00B61F6E"/>
    <w:rsid w:val="00B61FC9"/>
    <w:rsid w:val="00B622ED"/>
    <w:rsid w:val="00B62BBD"/>
    <w:rsid w:val="00B63F7D"/>
    <w:rsid w:val="00B64BE5"/>
    <w:rsid w:val="00B6582C"/>
    <w:rsid w:val="00B65B54"/>
    <w:rsid w:val="00B65E78"/>
    <w:rsid w:val="00B66108"/>
    <w:rsid w:val="00B6644D"/>
    <w:rsid w:val="00B66980"/>
    <w:rsid w:val="00B6773B"/>
    <w:rsid w:val="00B67B9D"/>
    <w:rsid w:val="00B67FE4"/>
    <w:rsid w:val="00B7002A"/>
    <w:rsid w:val="00B7037C"/>
    <w:rsid w:val="00B70B90"/>
    <w:rsid w:val="00B70DF2"/>
    <w:rsid w:val="00B72502"/>
    <w:rsid w:val="00B7268F"/>
    <w:rsid w:val="00B72C12"/>
    <w:rsid w:val="00B74315"/>
    <w:rsid w:val="00B743E2"/>
    <w:rsid w:val="00B74AEA"/>
    <w:rsid w:val="00B750A4"/>
    <w:rsid w:val="00B75558"/>
    <w:rsid w:val="00B75C73"/>
    <w:rsid w:val="00B768DC"/>
    <w:rsid w:val="00B778DC"/>
    <w:rsid w:val="00B80B65"/>
    <w:rsid w:val="00B80ED2"/>
    <w:rsid w:val="00B81A30"/>
    <w:rsid w:val="00B8209E"/>
    <w:rsid w:val="00B82DBA"/>
    <w:rsid w:val="00B82E7F"/>
    <w:rsid w:val="00B83329"/>
    <w:rsid w:val="00B83CB1"/>
    <w:rsid w:val="00B84CDA"/>
    <w:rsid w:val="00B853DA"/>
    <w:rsid w:val="00B854FF"/>
    <w:rsid w:val="00B856F4"/>
    <w:rsid w:val="00B85E0C"/>
    <w:rsid w:val="00B85EC5"/>
    <w:rsid w:val="00B864A5"/>
    <w:rsid w:val="00B86684"/>
    <w:rsid w:val="00B866D7"/>
    <w:rsid w:val="00B86828"/>
    <w:rsid w:val="00B86AF1"/>
    <w:rsid w:val="00B86CF6"/>
    <w:rsid w:val="00B87339"/>
    <w:rsid w:val="00B875C5"/>
    <w:rsid w:val="00B87772"/>
    <w:rsid w:val="00B8789F"/>
    <w:rsid w:val="00B878B4"/>
    <w:rsid w:val="00B9064C"/>
    <w:rsid w:val="00B906A1"/>
    <w:rsid w:val="00B90F53"/>
    <w:rsid w:val="00B915C7"/>
    <w:rsid w:val="00B919A5"/>
    <w:rsid w:val="00B91D71"/>
    <w:rsid w:val="00B921F1"/>
    <w:rsid w:val="00B9266E"/>
    <w:rsid w:val="00B92BD2"/>
    <w:rsid w:val="00B930CF"/>
    <w:rsid w:val="00B9317F"/>
    <w:rsid w:val="00B93298"/>
    <w:rsid w:val="00B935D1"/>
    <w:rsid w:val="00B93673"/>
    <w:rsid w:val="00B93A03"/>
    <w:rsid w:val="00B943D4"/>
    <w:rsid w:val="00B94442"/>
    <w:rsid w:val="00B9464D"/>
    <w:rsid w:val="00B94BFB"/>
    <w:rsid w:val="00B954E8"/>
    <w:rsid w:val="00B956D8"/>
    <w:rsid w:val="00B95880"/>
    <w:rsid w:val="00B95CD1"/>
    <w:rsid w:val="00B96063"/>
    <w:rsid w:val="00B9626B"/>
    <w:rsid w:val="00B9694B"/>
    <w:rsid w:val="00B9799C"/>
    <w:rsid w:val="00B97D68"/>
    <w:rsid w:val="00BA0315"/>
    <w:rsid w:val="00BA06DE"/>
    <w:rsid w:val="00BA0F44"/>
    <w:rsid w:val="00BA1D6B"/>
    <w:rsid w:val="00BA2107"/>
    <w:rsid w:val="00BA21F7"/>
    <w:rsid w:val="00BA26AE"/>
    <w:rsid w:val="00BA2A75"/>
    <w:rsid w:val="00BA2D10"/>
    <w:rsid w:val="00BA30E2"/>
    <w:rsid w:val="00BA31A6"/>
    <w:rsid w:val="00BA32BB"/>
    <w:rsid w:val="00BA417F"/>
    <w:rsid w:val="00BA54F7"/>
    <w:rsid w:val="00BA5597"/>
    <w:rsid w:val="00BA5957"/>
    <w:rsid w:val="00BA6052"/>
    <w:rsid w:val="00BA6450"/>
    <w:rsid w:val="00BA6F26"/>
    <w:rsid w:val="00BA7350"/>
    <w:rsid w:val="00BA74AA"/>
    <w:rsid w:val="00BA7505"/>
    <w:rsid w:val="00BA7811"/>
    <w:rsid w:val="00BA7AE9"/>
    <w:rsid w:val="00BA7F3F"/>
    <w:rsid w:val="00BB011D"/>
    <w:rsid w:val="00BB0C15"/>
    <w:rsid w:val="00BB0EAF"/>
    <w:rsid w:val="00BB0FAD"/>
    <w:rsid w:val="00BB14CB"/>
    <w:rsid w:val="00BB196A"/>
    <w:rsid w:val="00BB226D"/>
    <w:rsid w:val="00BB253F"/>
    <w:rsid w:val="00BB259D"/>
    <w:rsid w:val="00BB2917"/>
    <w:rsid w:val="00BB3205"/>
    <w:rsid w:val="00BB3271"/>
    <w:rsid w:val="00BB3537"/>
    <w:rsid w:val="00BB3616"/>
    <w:rsid w:val="00BB4C95"/>
    <w:rsid w:val="00BB4D5A"/>
    <w:rsid w:val="00BB4D73"/>
    <w:rsid w:val="00BB56EC"/>
    <w:rsid w:val="00BB589F"/>
    <w:rsid w:val="00BB5C08"/>
    <w:rsid w:val="00BB5F1B"/>
    <w:rsid w:val="00BB5F34"/>
    <w:rsid w:val="00BB65E6"/>
    <w:rsid w:val="00BB721B"/>
    <w:rsid w:val="00BB7574"/>
    <w:rsid w:val="00BB7A0A"/>
    <w:rsid w:val="00BB7D53"/>
    <w:rsid w:val="00BB7D5C"/>
    <w:rsid w:val="00BB7E5B"/>
    <w:rsid w:val="00BC01E9"/>
    <w:rsid w:val="00BC1484"/>
    <w:rsid w:val="00BC1637"/>
    <w:rsid w:val="00BC1E57"/>
    <w:rsid w:val="00BC1EEE"/>
    <w:rsid w:val="00BC1F37"/>
    <w:rsid w:val="00BC2918"/>
    <w:rsid w:val="00BC3449"/>
    <w:rsid w:val="00BC386D"/>
    <w:rsid w:val="00BC3DD3"/>
    <w:rsid w:val="00BC5ED8"/>
    <w:rsid w:val="00BC622E"/>
    <w:rsid w:val="00BC6AA7"/>
    <w:rsid w:val="00BC7CC4"/>
    <w:rsid w:val="00BD09C8"/>
    <w:rsid w:val="00BD0A26"/>
    <w:rsid w:val="00BD0DDF"/>
    <w:rsid w:val="00BD25C9"/>
    <w:rsid w:val="00BD2AD7"/>
    <w:rsid w:val="00BD3230"/>
    <w:rsid w:val="00BD3A85"/>
    <w:rsid w:val="00BD3F57"/>
    <w:rsid w:val="00BD42C2"/>
    <w:rsid w:val="00BD4F4F"/>
    <w:rsid w:val="00BD51BC"/>
    <w:rsid w:val="00BD5B0B"/>
    <w:rsid w:val="00BD5D18"/>
    <w:rsid w:val="00BD5FDB"/>
    <w:rsid w:val="00BD743A"/>
    <w:rsid w:val="00BD74BE"/>
    <w:rsid w:val="00BE0004"/>
    <w:rsid w:val="00BE14A8"/>
    <w:rsid w:val="00BE1669"/>
    <w:rsid w:val="00BE1747"/>
    <w:rsid w:val="00BE199E"/>
    <w:rsid w:val="00BE20A7"/>
    <w:rsid w:val="00BE2542"/>
    <w:rsid w:val="00BE2C6C"/>
    <w:rsid w:val="00BE32B7"/>
    <w:rsid w:val="00BE339C"/>
    <w:rsid w:val="00BE3848"/>
    <w:rsid w:val="00BE3A7A"/>
    <w:rsid w:val="00BE3C64"/>
    <w:rsid w:val="00BE4D0E"/>
    <w:rsid w:val="00BE5360"/>
    <w:rsid w:val="00BE5A07"/>
    <w:rsid w:val="00BE62EF"/>
    <w:rsid w:val="00BE659C"/>
    <w:rsid w:val="00BE6810"/>
    <w:rsid w:val="00BE6CB0"/>
    <w:rsid w:val="00BE70A8"/>
    <w:rsid w:val="00BE7B4C"/>
    <w:rsid w:val="00BE7C23"/>
    <w:rsid w:val="00BE7E03"/>
    <w:rsid w:val="00BF16D9"/>
    <w:rsid w:val="00BF1716"/>
    <w:rsid w:val="00BF199A"/>
    <w:rsid w:val="00BF2150"/>
    <w:rsid w:val="00BF2152"/>
    <w:rsid w:val="00BF2922"/>
    <w:rsid w:val="00BF3C2A"/>
    <w:rsid w:val="00BF4828"/>
    <w:rsid w:val="00BF487F"/>
    <w:rsid w:val="00BF4B59"/>
    <w:rsid w:val="00BF5005"/>
    <w:rsid w:val="00BF5021"/>
    <w:rsid w:val="00BF5384"/>
    <w:rsid w:val="00BF60AF"/>
    <w:rsid w:val="00BF648F"/>
    <w:rsid w:val="00BF6612"/>
    <w:rsid w:val="00BF77F8"/>
    <w:rsid w:val="00C00DB3"/>
    <w:rsid w:val="00C01893"/>
    <w:rsid w:val="00C01AB9"/>
    <w:rsid w:val="00C01AFF"/>
    <w:rsid w:val="00C01F21"/>
    <w:rsid w:val="00C02916"/>
    <w:rsid w:val="00C02F92"/>
    <w:rsid w:val="00C03B42"/>
    <w:rsid w:val="00C04042"/>
    <w:rsid w:val="00C040EB"/>
    <w:rsid w:val="00C042CB"/>
    <w:rsid w:val="00C04418"/>
    <w:rsid w:val="00C04FB3"/>
    <w:rsid w:val="00C05802"/>
    <w:rsid w:val="00C05966"/>
    <w:rsid w:val="00C05A08"/>
    <w:rsid w:val="00C05C3A"/>
    <w:rsid w:val="00C05D79"/>
    <w:rsid w:val="00C06267"/>
    <w:rsid w:val="00C063BF"/>
    <w:rsid w:val="00C0673C"/>
    <w:rsid w:val="00C06A56"/>
    <w:rsid w:val="00C06A91"/>
    <w:rsid w:val="00C078CE"/>
    <w:rsid w:val="00C07C0F"/>
    <w:rsid w:val="00C11399"/>
    <w:rsid w:val="00C11EEC"/>
    <w:rsid w:val="00C11F04"/>
    <w:rsid w:val="00C12217"/>
    <w:rsid w:val="00C125B8"/>
    <w:rsid w:val="00C12899"/>
    <w:rsid w:val="00C12A03"/>
    <w:rsid w:val="00C12D60"/>
    <w:rsid w:val="00C132CE"/>
    <w:rsid w:val="00C141D3"/>
    <w:rsid w:val="00C141F9"/>
    <w:rsid w:val="00C14246"/>
    <w:rsid w:val="00C14B79"/>
    <w:rsid w:val="00C14D94"/>
    <w:rsid w:val="00C15D3C"/>
    <w:rsid w:val="00C1633F"/>
    <w:rsid w:val="00C16453"/>
    <w:rsid w:val="00C166C0"/>
    <w:rsid w:val="00C16C48"/>
    <w:rsid w:val="00C16C7B"/>
    <w:rsid w:val="00C16CF5"/>
    <w:rsid w:val="00C17E27"/>
    <w:rsid w:val="00C17F89"/>
    <w:rsid w:val="00C17FF9"/>
    <w:rsid w:val="00C20C6B"/>
    <w:rsid w:val="00C20DA5"/>
    <w:rsid w:val="00C211D3"/>
    <w:rsid w:val="00C21272"/>
    <w:rsid w:val="00C21A94"/>
    <w:rsid w:val="00C21E2C"/>
    <w:rsid w:val="00C21E3A"/>
    <w:rsid w:val="00C221AF"/>
    <w:rsid w:val="00C224A5"/>
    <w:rsid w:val="00C23460"/>
    <w:rsid w:val="00C23CDC"/>
    <w:rsid w:val="00C2476C"/>
    <w:rsid w:val="00C24D22"/>
    <w:rsid w:val="00C24F5A"/>
    <w:rsid w:val="00C2508B"/>
    <w:rsid w:val="00C25D9E"/>
    <w:rsid w:val="00C262BD"/>
    <w:rsid w:val="00C267C4"/>
    <w:rsid w:val="00C26987"/>
    <w:rsid w:val="00C27AA0"/>
    <w:rsid w:val="00C27CCA"/>
    <w:rsid w:val="00C27D47"/>
    <w:rsid w:val="00C27DDA"/>
    <w:rsid w:val="00C3018A"/>
    <w:rsid w:val="00C3041C"/>
    <w:rsid w:val="00C30B65"/>
    <w:rsid w:val="00C30FB8"/>
    <w:rsid w:val="00C314F7"/>
    <w:rsid w:val="00C31E97"/>
    <w:rsid w:val="00C32146"/>
    <w:rsid w:val="00C3215C"/>
    <w:rsid w:val="00C3378F"/>
    <w:rsid w:val="00C341A5"/>
    <w:rsid w:val="00C342D5"/>
    <w:rsid w:val="00C3448D"/>
    <w:rsid w:val="00C3459F"/>
    <w:rsid w:val="00C34A0D"/>
    <w:rsid w:val="00C35586"/>
    <w:rsid w:val="00C365C1"/>
    <w:rsid w:val="00C36778"/>
    <w:rsid w:val="00C36D74"/>
    <w:rsid w:val="00C37782"/>
    <w:rsid w:val="00C377C7"/>
    <w:rsid w:val="00C37C2A"/>
    <w:rsid w:val="00C40118"/>
    <w:rsid w:val="00C40708"/>
    <w:rsid w:val="00C40DD5"/>
    <w:rsid w:val="00C41578"/>
    <w:rsid w:val="00C41C5E"/>
    <w:rsid w:val="00C41EDC"/>
    <w:rsid w:val="00C4280C"/>
    <w:rsid w:val="00C4348B"/>
    <w:rsid w:val="00C43B0C"/>
    <w:rsid w:val="00C44120"/>
    <w:rsid w:val="00C442DE"/>
    <w:rsid w:val="00C44438"/>
    <w:rsid w:val="00C44580"/>
    <w:rsid w:val="00C447C4"/>
    <w:rsid w:val="00C448BC"/>
    <w:rsid w:val="00C457E2"/>
    <w:rsid w:val="00C46678"/>
    <w:rsid w:val="00C468B1"/>
    <w:rsid w:val="00C46D68"/>
    <w:rsid w:val="00C473F3"/>
    <w:rsid w:val="00C476EC"/>
    <w:rsid w:val="00C50016"/>
    <w:rsid w:val="00C500B3"/>
    <w:rsid w:val="00C5065F"/>
    <w:rsid w:val="00C50687"/>
    <w:rsid w:val="00C50ADC"/>
    <w:rsid w:val="00C50F44"/>
    <w:rsid w:val="00C50FB5"/>
    <w:rsid w:val="00C51A9E"/>
    <w:rsid w:val="00C51E11"/>
    <w:rsid w:val="00C5279F"/>
    <w:rsid w:val="00C52BC0"/>
    <w:rsid w:val="00C53735"/>
    <w:rsid w:val="00C542B2"/>
    <w:rsid w:val="00C54B50"/>
    <w:rsid w:val="00C54BDA"/>
    <w:rsid w:val="00C5560A"/>
    <w:rsid w:val="00C5577C"/>
    <w:rsid w:val="00C55C14"/>
    <w:rsid w:val="00C56850"/>
    <w:rsid w:val="00C56D55"/>
    <w:rsid w:val="00C56DD1"/>
    <w:rsid w:val="00C60B19"/>
    <w:rsid w:val="00C60EA9"/>
    <w:rsid w:val="00C6109D"/>
    <w:rsid w:val="00C61565"/>
    <w:rsid w:val="00C61893"/>
    <w:rsid w:val="00C62152"/>
    <w:rsid w:val="00C6295E"/>
    <w:rsid w:val="00C631B9"/>
    <w:rsid w:val="00C634F5"/>
    <w:rsid w:val="00C645D4"/>
    <w:rsid w:val="00C645F7"/>
    <w:rsid w:val="00C64C9B"/>
    <w:rsid w:val="00C650B5"/>
    <w:rsid w:val="00C66EC0"/>
    <w:rsid w:val="00C674F2"/>
    <w:rsid w:val="00C675EB"/>
    <w:rsid w:val="00C67892"/>
    <w:rsid w:val="00C705FF"/>
    <w:rsid w:val="00C71140"/>
    <w:rsid w:val="00C715CA"/>
    <w:rsid w:val="00C717C5"/>
    <w:rsid w:val="00C718EE"/>
    <w:rsid w:val="00C7248D"/>
    <w:rsid w:val="00C731DF"/>
    <w:rsid w:val="00C73B1B"/>
    <w:rsid w:val="00C74C41"/>
    <w:rsid w:val="00C75154"/>
    <w:rsid w:val="00C75B1B"/>
    <w:rsid w:val="00C7633B"/>
    <w:rsid w:val="00C768EA"/>
    <w:rsid w:val="00C80B13"/>
    <w:rsid w:val="00C80F8E"/>
    <w:rsid w:val="00C816D0"/>
    <w:rsid w:val="00C81CF4"/>
    <w:rsid w:val="00C8269C"/>
    <w:rsid w:val="00C830FE"/>
    <w:rsid w:val="00C83449"/>
    <w:rsid w:val="00C83A77"/>
    <w:rsid w:val="00C840B4"/>
    <w:rsid w:val="00C8424F"/>
    <w:rsid w:val="00C85162"/>
    <w:rsid w:val="00C85DA5"/>
    <w:rsid w:val="00C85F79"/>
    <w:rsid w:val="00C85FA2"/>
    <w:rsid w:val="00C8600B"/>
    <w:rsid w:val="00C86082"/>
    <w:rsid w:val="00C86772"/>
    <w:rsid w:val="00C86FEC"/>
    <w:rsid w:val="00C87438"/>
    <w:rsid w:val="00C8750D"/>
    <w:rsid w:val="00C905A3"/>
    <w:rsid w:val="00C9101D"/>
    <w:rsid w:val="00C9119B"/>
    <w:rsid w:val="00C915F2"/>
    <w:rsid w:val="00C91D03"/>
    <w:rsid w:val="00C9388E"/>
    <w:rsid w:val="00C93AD5"/>
    <w:rsid w:val="00C93AEB"/>
    <w:rsid w:val="00C93ECF"/>
    <w:rsid w:val="00C94052"/>
    <w:rsid w:val="00C9445E"/>
    <w:rsid w:val="00C946B9"/>
    <w:rsid w:val="00C951EA"/>
    <w:rsid w:val="00C95661"/>
    <w:rsid w:val="00C95AFC"/>
    <w:rsid w:val="00C95D4F"/>
    <w:rsid w:val="00C97448"/>
    <w:rsid w:val="00CA0150"/>
    <w:rsid w:val="00CA0167"/>
    <w:rsid w:val="00CA11A9"/>
    <w:rsid w:val="00CA1415"/>
    <w:rsid w:val="00CA16BF"/>
    <w:rsid w:val="00CA1769"/>
    <w:rsid w:val="00CA1B2C"/>
    <w:rsid w:val="00CA22D1"/>
    <w:rsid w:val="00CA2EEB"/>
    <w:rsid w:val="00CA308A"/>
    <w:rsid w:val="00CA3589"/>
    <w:rsid w:val="00CA38D6"/>
    <w:rsid w:val="00CA3AB0"/>
    <w:rsid w:val="00CA3CA1"/>
    <w:rsid w:val="00CA408B"/>
    <w:rsid w:val="00CA42DF"/>
    <w:rsid w:val="00CA54DC"/>
    <w:rsid w:val="00CA551F"/>
    <w:rsid w:val="00CA5B93"/>
    <w:rsid w:val="00CA6277"/>
    <w:rsid w:val="00CA65DC"/>
    <w:rsid w:val="00CA672A"/>
    <w:rsid w:val="00CA678B"/>
    <w:rsid w:val="00CA6D8F"/>
    <w:rsid w:val="00CA71A7"/>
    <w:rsid w:val="00CA77B1"/>
    <w:rsid w:val="00CA79DC"/>
    <w:rsid w:val="00CB018C"/>
    <w:rsid w:val="00CB01A8"/>
    <w:rsid w:val="00CB08FE"/>
    <w:rsid w:val="00CB0D05"/>
    <w:rsid w:val="00CB1349"/>
    <w:rsid w:val="00CB152F"/>
    <w:rsid w:val="00CB188C"/>
    <w:rsid w:val="00CB2F97"/>
    <w:rsid w:val="00CB3E23"/>
    <w:rsid w:val="00CB40E2"/>
    <w:rsid w:val="00CB4468"/>
    <w:rsid w:val="00CB53D0"/>
    <w:rsid w:val="00CB5A23"/>
    <w:rsid w:val="00CB5D35"/>
    <w:rsid w:val="00CB6975"/>
    <w:rsid w:val="00CB6AD8"/>
    <w:rsid w:val="00CB6B11"/>
    <w:rsid w:val="00CB72DF"/>
    <w:rsid w:val="00CB73EA"/>
    <w:rsid w:val="00CB7EBA"/>
    <w:rsid w:val="00CC011E"/>
    <w:rsid w:val="00CC0E8A"/>
    <w:rsid w:val="00CC19DC"/>
    <w:rsid w:val="00CC1ACA"/>
    <w:rsid w:val="00CC1F14"/>
    <w:rsid w:val="00CC1FED"/>
    <w:rsid w:val="00CC2B1F"/>
    <w:rsid w:val="00CC2F2B"/>
    <w:rsid w:val="00CC2F49"/>
    <w:rsid w:val="00CC3033"/>
    <w:rsid w:val="00CC3464"/>
    <w:rsid w:val="00CC373E"/>
    <w:rsid w:val="00CC3E3D"/>
    <w:rsid w:val="00CC466E"/>
    <w:rsid w:val="00CC543F"/>
    <w:rsid w:val="00CC610E"/>
    <w:rsid w:val="00CC6D62"/>
    <w:rsid w:val="00CC6F75"/>
    <w:rsid w:val="00CC72B7"/>
    <w:rsid w:val="00CC74BD"/>
    <w:rsid w:val="00CD0300"/>
    <w:rsid w:val="00CD1255"/>
    <w:rsid w:val="00CD137B"/>
    <w:rsid w:val="00CD148E"/>
    <w:rsid w:val="00CD1D2E"/>
    <w:rsid w:val="00CD2476"/>
    <w:rsid w:val="00CD2E6E"/>
    <w:rsid w:val="00CD3051"/>
    <w:rsid w:val="00CD3436"/>
    <w:rsid w:val="00CD351B"/>
    <w:rsid w:val="00CD3724"/>
    <w:rsid w:val="00CD3B87"/>
    <w:rsid w:val="00CD41A7"/>
    <w:rsid w:val="00CD4746"/>
    <w:rsid w:val="00CD4E87"/>
    <w:rsid w:val="00CD56A8"/>
    <w:rsid w:val="00CD5B0E"/>
    <w:rsid w:val="00CD5D09"/>
    <w:rsid w:val="00CD6229"/>
    <w:rsid w:val="00CD6586"/>
    <w:rsid w:val="00CD7174"/>
    <w:rsid w:val="00CD7190"/>
    <w:rsid w:val="00CE2958"/>
    <w:rsid w:val="00CE32C8"/>
    <w:rsid w:val="00CE3737"/>
    <w:rsid w:val="00CE3D35"/>
    <w:rsid w:val="00CE3E4B"/>
    <w:rsid w:val="00CE4BE8"/>
    <w:rsid w:val="00CE4D0B"/>
    <w:rsid w:val="00CE4E84"/>
    <w:rsid w:val="00CE504D"/>
    <w:rsid w:val="00CE62CB"/>
    <w:rsid w:val="00CE6380"/>
    <w:rsid w:val="00CE6B78"/>
    <w:rsid w:val="00CE746C"/>
    <w:rsid w:val="00CE7C07"/>
    <w:rsid w:val="00CF1E5C"/>
    <w:rsid w:val="00CF276C"/>
    <w:rsid w:val="00CF2D82"/>
    <w:rsid w:val="00CF3036"/>
    <w:rsid w:val="00CF3401"/>
    <w:rsid w:val="00CF34D6"/>
    <w:rsid w:val="00CF3696"/>
    <w:rsid w:val="00CF3CCD"/>
    <w:rsid w:val="00CF4810"/>
    <w:rsid w:val="00CF49B5"/>
    <w:rsid w:val="00CF4B4D"/>
    <w:rsid w:val="00CF5810"/>
    <w:rsid w:val="00CF5E5F"/>
    <w:rsid w:val="00D00649"/>
    <w:rsid w:val="00D0084F"/>
    <w:rsid w:val="00D00D97"/>
    <w:rsid w:val="00D00FE6"/>
    <w:rsid w:val="00D01DE0"/>
    <w:rsid w:val="00D02399"/>
    <w:rsid w:val="00D0262E"/>
    <w:rsid w:val="00D02E25"/>
    <w:rsid w:val="00D03434"/>
    <w:rsid w:val="00D0400F"/>
    <w:rsid w:val="00D04142"/>
    <w:rsid w:val="00D04B81"/>
    <w:rsid w:val="00D04E6B"/>
    <w:rsid w:val="00D051D9"/>
    <w:rsid w:val="00D057CB"/>
    <w:rsid w:val="00D05A66"/>
    <w:rsid w:val="00D05C35"/>
    <w:rsid w:val="00D06CC6"/>
    <w:rsid w:val="00D06CE9"/>
    <w:rsid w:val="00D07D2D"/>
    <w:rsid w:val="00D07F5E"/>
    <w:rsid w:val="00D10182"/>
    <w:rsid w:val="00D103AB"/>
    <w:rsid w:val="00D10FC0"/>
    <w:rsid w:val="00D11981"/>
    <w:rsid w:val="00D11CFE"/>
    <w:rsid w:val="00D12CA2"/>
    <w:rsid w:val="00D13825"/>
    <w:rsid w:val="00D13A58"/>
    <w:rsid w:val="00D150A3"/>
    <w:rsid w:val="00D16746"/>
    <w:rsid w:val="00D16DF3"/>
    <w:rsid w:val="00D1711F"/>
    <w:rsid w:val="00D17369"/>
    <w:rsid w:val="00D1787C"/>
    <w:rsid w:val="00D179DF"/>
    <w:rsid w:val="00D2029B"/>
    <w:rsid w:val="00D20C31"/>
    <w:rsid w:val="00D21F57"/>
    <w:rsid w:val="00D220C9"/>
    <w:rsid w:val="00D22142"/>
    <w:rsid w:val="00D2254E"/>
    <w:rsid w:val="00D22CAD"/>
    <w:rsid w:val="00D23509"/>
    <w:rsid w:val="00D23C9D"/>
    <w:rsid w:val="00D23CF5"/>
    <w:rsid w:val="00D23E8D"/>
    <w:rsid w:val="00D240E2"/>
    <w:rsid w:val="00D24C43"/>
    <w:rsid w:val="00D2511C"/>
    <w:rsid w:val="00D25645"/>
    <w:rsid w:val="00D25973"/>
    <w:rsid w:val="00D26919"/>
    <w:rsid w:val="00D2744A"/>
    <w:rsid w:val="00D279D8"/>
    <w:rsid w:val="00D27A27"/>
    <w:rsid w:val="00D27C6A"/>
    <w:rsid w:val="00D3001A"/>
    <w:rsid w:val="00D3095E"/>
    <w:rsid w:val="00D30C77"/>
    <w:rsid w:val="00D312D0"/>
    <w:rsid w:val="00D318CD"/>
    <w:rsid w:val="00D3191C"/>
    <w:rsid w:val="00D320F2"/>
    <w:rsid w:val="00D32636"/>
    <w:rsid w:val="00D3279B"/>
    <w:rsid w:val="00D32A0D"/>
    <w:rsid w:val="00D33BBB"/>
    <w:rsid w:val="00D346B9"/>
    <w:rsid w:val="00D3625E"/>
    <w:rsid w:val="00D365E1"/>
    <w:rsid w:val="00D368D6"/>
    <w:rsid w:val="00D3757C"/>
    <w:rsid w:val="00D4158B"/>
    <w:rsid w:val="00D4225D"/>
    <w:rsid w:val="00D42A70"/>
    <w:rsid w:val="00D42D6C"/>
    <w:rsid w:val="00D42DF9"/>
    <w:rsid w:val="00D4304A"/>
    <w:rsid w:val="00D439CB"/>
    <w:rsid w:val="00D44662"/>
    <w:rsid w:val="00D44A9B"/>
    <w:rsid w:val="00D451FC"/>
    <w:rsid w:val="00D45EF6"/>
    <w:rsid w:val="00D46152"/>
    <w:rsid w:val="00D463CC"/>
    <w:rsid w:val="00D46776"/>
    <w:rsid w:val="00D46ADA"/>
    <w:rsid w:val="00D4776B"/>
    <w:rsid w:val="00D47B00"/>
    <w:rsid w:val="00D509BD"/>
    <w:rsid w:val="00D51016"/>
    <w:rsid w:val="00D5102E"/>
    <w:rsid w:val="00D5150B"/>
    <w:rsid w:val="00D51888"/>
    <w:rsid w:val="00D51A74"/>
    <w:rsid w:val="00D51A95"/>
    <w:rsid w:val="00D51EA1"/>
    <w:rsid w:val="00D51FBA"/>
    <w:rsid w:val="00D51FF8"/>
    <w:rsid w:val="00D52F58"/>
    <w:rsid w:val="00D53254"/>
    <w:rsid w:val="00D534E6"/>
    <w:rsid w:val="00D53B78"/>
    <w:rsid w:val="00D53BBE"/>
    <w:rsid w:val="00D53D60"/>
    <w:rsid w:val="00D54179"/>
    <w:rsid w:val="00D54387"/>
    <w:rsid w:val="00D55339"/>
    <w:rsid w:val="00D55540"/>
    <w:rsid w:val="00D55862"/>
    <w:rsid w:val="00D55867"/>
    <w:rsid w:val="00D55E15"/>
    <w:rsid w:val="00D561A4"/>
    <w:rsid w:val="00D56A76"/>
    <w:rsid w:val="00D56E33"/>
    <w:rsid w:val="00D5775E"/>
    <w:rsid w:val="00D60450"/>
    <w:rsid w:val="00D6084A"/>
    <w:rsid w:val="00D60FD0"/>
    <w:rsid w:val="00D61360"/>
    <w:rsid w:val="00D617B3"/>
    <w:rsid w:val="00D61BCA"/>
    <w:rsid w:val="00D62071"/>
    <w:rsid w:val="00D62241"/>
    <w:rsid w:val="00D622DA"/>
    <w:rsid w:val="00D62AB1"/>
    <w:rsid w:val="00D630B7"/>
    <w:rsid w:val="00D635D7"/>
    <w:rsid w:val="00D6385C"/>
    <w:rsid w:val="00D64D63"/>
    <w:rsid w:val="00D64E3D"/>
    <w:rsid w:val="00D664C1"/>
    <w:rsid w:val="00D6772C"/>
    <w:rsid w:val="00D67B7E"/>
    <w:rsid w:val="00D67F0D"/>
    <w:rsid w:val="00D7003F"/>
    <w:rsid w:val="00D704CF"/>
    <w:rsid w:val="00D70534"/>
    <w:rsid w:val="00D70607"/>
    <w:rsid w:val="00D706D3"/>
    <w:rsid w:val="00D707E3"/>
    <w:rsid w:val="00D70E13"/>
    <w:rsid w:val="00D70E33"/>
    <w:rsid w:val="00D70FAA"/>
    <w:rsid w:val="00D7132C"/>
    <w:rsid w:val="00D7176D"/>
    <w:rsid w:val="00D71792"/>
    <w:rsid w:val="00D7241C"/>
    <w:rsid w:val="00D72BF5"/>
    <w:rsid w:val="00D7338B"/>
    <w:rsid w:val="00D73766"/>
    <w:rsid w:val="00D73869"/>
    <w:rsid w:val="00D75250"/>
    <w:rsid w:val="00D759AB"/>
    <w:rsid w:val="00D77AD2"/>
    <w:rsid w:val="00D8003E"/>
    <w:rsid w:val="00D8024E"/>
    <w:rsid w:val="00D80262"/>
    <w:rsid w:val="00D8039F"/>
    <w:rsid w:val="00D803B5"/>
    <w:rsid w:val="00D8061D"/>
    <w:rsid w:val="00D80676"/>
    <w:rsid w:val="00D80723"/>
    <w:rsid w:val="00D809E8"/>
    <w:rsid w:val="00D8116B"/>
    <w:rsid w:val="00D82969"/>
    <w:rsid w:val="00D82CEA"/>
    <w:rsid w:val="00D82DD3"/>
    <w:rsid w:val="00D83D56"/>
    <w:rsid w:val="00D8480C"/>
    <w:rsid w:val="00D84A10"/>
    <w:rsid w:val="00D8509E"/>
    <w:rsid w:val="00D850A6"/>
    <w:rsid w:val="00D85A0E"/>
    <w:rsid w:val="00D85B0D"/>
    <w:rsid w:val="00D85F46"/>
    <w:rsid w:val="00D8616A"/>
    <w:rsid w:val="00D8673F"/>
    <w:rsid w:val="00D87C04"/>
    <w:rsid w:val="00D87D04"/>
    <w:rsid w:val="00D87D5F"/>
    <w:rsid w:val="00D90B04"/>
    <w:rsid w:val="00D916FC"/>
    <w:rsid w:val="00D91860"/>
    <w:rsid w:val="00D924DA"/>
    <w:rsid w:val="00D92E4D"/>
    <w:rsid w:val="00D93213"/>
    <w:rsid w:val="00D93789"/>
    <w:rsid w:val="00D9396F"/>
    <w:rsid w:val="00D93A05"/>
    <w:rsid w:val="00D93FC7"/>
    <w:rsid w:val="00D942E3"/>
    <w:rsid w:val="00D94466"/>
    <w:rsid w:val="00D944B0"/>
    <w:rsid w:val="00D94DE0"/>
    <w:rsid w:val="00D95046"/>
    <w:rsid w:val="00D953EB"/>
    <w:rsid w:val="00D95F9F"/>
    <w:rsid w:val="00D96354"/>
    <w:rsid w:val="00D9643E"/>
    <w:rsid w:val="00D9791C"/>
    <w:rsid w:val="00D97D65"/>
    <w:rsid w:val="00D97FD6"/>
    <w:rsid w:val="00DA0526"/>
    <w:rsid w:val="00DA0AED"/>
    <w:rsid w:val="00DA0CC6"/>
    <w:rsid w:val="00DA0E2D"/>
    <w:rsid w:val="00DA169F"/>
    <w:rsid w:val="00DA192F"/>
    <w:rsid w:val="00DA2619"/>
    <w:rsid w:val="00DA270F"/>
    <w:rsid w:val="00DA281F"/>
    <w:rsid w:val="00DA38D9"/>
    <w:rsid w:val="00DA3B13"/>
    <w:rsid w:val="00DA3ED1"/>
    <w:rsid w:val="00DA421C"/>
    <w:rsid w:val="00DA4461"/>
    <w:rsid w:val="00DA504E"/>
    <w:rsid w:val="00DA5514"/>
    <w:rsid w:val="00DA676A"/>
    <w:rsid w:val="00DA6BEF"/>
    <w:rsid w:val="00DA721C"/>
    <w:rsid w:val="00DA72C6"/>
    <w:rsid w:val="00DA743A"/>
    <w:rsid w:val="00DB0F3C"/>
    <w:rsid w:val="00DB11D4"/>
    <w:rsid w:val="00DB17D3"/>
    <w:rsid w:val="00DB1BED"/>
    <w:rsid w:val="00DB2737"/>
    <w:rsid w:val="00DB3957"/>
    <w:rsid w:val="00DB3975"/>
    <w:rsid w:val="00DB3C44"/>
    <w:rsid w:val="00DB3FAA"/>
    <w:rsid w:val="00DB3FEF"/>
    <w:rsid w:val="00DB4E74"/>
    <w:rsid w:val="00DB5A3E"/>
    <w:rsid w:val="00DB69D9"/>
    <w:rsid w:val="00DB6B58"/>
    <w:rsid w:val="00DB706D"/>
    <w:rsid w:val="00DB79EA"/>
    <w:rsid w:val="00DC02D3"/>
    <w:rsid w:val="00DC06E1"/>
    <w:rsid w:val="00DC1802"/>
    <w:rsid w:val="00DC304C"/>
    <w:rsid w:val="00DC460B"/>
    <w:rsid w:val="00DC4E5A"/>
    <w:rsid w:val="00DC5301"/>
    <w:rsid w:val="00DC5762"/>
    <w:rsid w:val="00DC5B90"/>
    <w:rsid w:val="00DC5D1E"/>
    <w:rsid w:val="00DC62BF"/>
    <w:rsid w:val="00DC7216"/>
    <w:rsid w:val="00DC7BD0"/>
    <w:rsid w:val="00DC7FFA"/>
    <w:rsid w:val="00DD0416"/>
    <w:rsid w:val="00DD05E7"/>
    <w:rsid w:val="00DD104A"/>
    <w:rsid w:val="00DD1AF1"/>
    <w:rsid w:val="00DD3A47"/>
    <w:rsid w:val="00DD49EA"/>
    <w:rsid w:val="00DD4FA9"/>
    <w:rsid w:val="00DD5200"/>
    <w:rsid w:val="00DD5E02"/>
    <w:rsid w:val="00DD6110"/>
    <w:rsid w:val="00DD7AB5"/>
    <w:rsid w:val="00DD7FF3"/>
    <w:rsid w:val="00DE05DF"/>
    <w:rsid w:val="00DE0F03"/>
    <w:rsid w:val="00DE111B"/>
    <w:rsid w:val="00DE1300"/>
    <w:rsid w:val="00DE14F7"/>
    <w:rsid w:val="00DE172E"/>
    <w:rsid w:val="00DE19D6"/>
    <w:rsid w:val="00DE2B71"/>
    <w:rsid w:val="00DE3658"/>
    <w:rsid w:val="00DE3D0F"/>
    <w:rsid w:val="00DE427A"/>
    <w:rsid w:val="00DE42BC"/>
    <w:rsid w:val="00DE43DC"/>
    <w:rsid w:val="00DE56DF"/>
    <w:rsid w:val="00DE59D0"/>
    <w:rsid w:val="00DE5E6E"/>
    <w:rsid w:val="00DE5F1F"/>
    <w:rsid w:val="00DE68E4"/>
    <w:rsid w:val="00DE6E68"/>
    <w:rsid w:val="00DE6F00"/>
    <w:rsid w:val="00DE726F"/>
    <w:rsid w:val="00DE75FC"/>
    <w:rsid w:val="00DE7628"/>
    <w:rsid w:val="00DF0229"/>
    <w:rsid w:val="00DF0816"/>
    <w:rsid w:val="00DF0BA3"/>
    <w:rsid w:val="00DF0DE3"/>
    <w:rsid w:val="00DF18AB"/>
    <w:rsid w:val="00DF240E"/>
    <w:rsid w:val="00DF2660"/>
    <w:rsid w:val="00DF2971"/>
    <w:rsid w:val="00DF2C2A"/>
    <w:rsid w:val="00DF2E1B"/>
    <w:rsid w:val="00DF2FF5"/>
    <w:rsid w:val="00DF426D"/>
    <w:rsid w:val="00DF472D"/>
    <w:rsid w:val="00DF4D32"/>
    <w:rsid w:val="00DF52D8"/>
    <w:rsid w:val="00DF59B8"/>
    <w:rsid w:val="00DF6024"/>
    <w:rsid w:val="00DF65BC"/>
    <w:rsid w:val="00DF6C32"/>
    <w:rsid w:val="00DF6F00"/>
    <w:rsid w:val="00DF7024"/>
    <w:rsid w:val="00DF73B8"/>
    <w:rsid w:val="00DF7D44"/>
    <w:rsid w:val="00DF7F09"/>
    <w:rsid w:val="00E01E41"/>
    <w:rsid w:val="00E024D1"/>
    <w:rsid w:val="00E04670"/>
    <w:rsid w:val="00E05526"/>
    <w:rsid w:val="00E06D7C"/>
    <w:rsid w:val="00E07703"/>
    <w:rsid w:val="00E077D3"/>
    <w:rsid w:val="00E07A50"/>
    <w:rsid w:val="00E07D12"/>
    <w:rsid w:val="00E1031F"/>
    <w:rsid w:val="00E10B8A"/>
    <w:rsid w:val="00E10D27"/>
    <w:rsid w:val="00E116AD"/>
    <w:rsid w:val="00E11787"/>
    <w:rsid w:val="00E11C86"/>
    <w:rsid w:val="00E12467"/>
    <w:rsid w:val="00E12952"/>
    <w:rsid w:val="00E13C07"/>
    <w:rsid w:val="00E13EA4"/>
    <w:rsid w:val="00E13F93"/>
    <w:rsid w:val="00E14942"/>
    <w:rsid w:val="00E14982"/>
    <w:rsid w:val="00E15282"/>
    <w:rsid w:val="00E1632D"/>
    <w:rsid w:val="00E163B6"/>
    <w:rsid w:val="00E163EE"/>
    <w:rsid w:val="00E1652B"/>
    <w:rsid w:val="00E167AD"/>
    <w:rsid w:val="00E16831"/>
    <w:rsid w:val="00E17051"/>
    <w:rsid w:val="00E17421"/>
    <w:rsid w:val="00E21DA0"/>
    <w:rsid w:val="00E21DB1"/>
    <w:rsid w:val="00E2200E"/>
    <w:rsid w:val="00E22378"/>
    <w:rsid w:val="00E22988"/>
    <w:rsid w:val="00E22A8F"/>
    <w:rsid w:val="00E24568"/>
    <w:rsid w:val="00E25178"/>
    <w:rsid w:val="00E26464"/>
    <w:rsid w:val="00E2698F"/>
    <w:rsid w:val="00E27781"/>
    <w:rsid w:val="00E30426"/>
    <w:rsid w:val="00E30777"/>
    <w:rsid w:val="00E315B6"/>
    <w:rsid w:val="00E319CA"/>
    <w:rsid w:val="00E31F5F"/>
    <w:rsid w:val="00E320A6"/>
    <w:rsid w:val="00E32697"/>
    <w:rsid w:val="00E3293D"/>
    <w:rsid w:val="00E332C6"/>
    <w:rsid w:val="00E33411"/>
    <w:rsid w:val="00E33814"/>
    <w:rsid w:val="00E33C65"/>
    <w:rsid w:val="00E34EC7"/>
    <w:rsid w:val="00E34EEE"/>
    <w:rsid w:val="00E3502C"/>
    <w:rsid w:val="00E3560E"/>
    <w:rsid w:val="00E35950"/>
    <w:rsid w:val="00E35C20"/>
    <w:rsid w:val="00E3625D"/>
    <w:rsid w:val="00E36865"/>
    <w:rsid w:val="00E36D17"/>
    <w:rsid w:val="00E36E22"/>
    <w:rsid w:val="00E36EBA"/>
    <w:rsid w:val="00E408F3"/>
    <w:rsid w:val="00E41B5C"/>
    <w:rsid w:val="00E41EC3"/>
    <w:rsid w:val="00E4281B"/>
    <w:rsid w:val="00E42EAF"/>
    <w:rsid w:val="00E43110"/>
    <w:rsid w:val="00E43556"/>
    <w:rsid w:val="00E442EA"/>
    <w:rsid w:val="00E44416"/>
    <w:rsid w:val="00E44705"/>
    <w:rsid w:val="00E44C3F"/>
    <w:rsid w:val="00E45025"/>
    <w:rsid w:val="00E45491"/>
    <w:rsid w:val="00E464EE"/>
    <w:rsid w:val="00E47A55"/>
    <w:rsid w:val="00E47B68"/>
    <w:rsid w:val="00E47E18"/>
    <w:rsid w:val="00E5134E"/>
    <w:rsid w:val="00E516C7"/>
    <w:rsid w:val="00E52C7C"/>
    <w:rsid w:val="00E53676"/>
    <w:rsid w:val="00E53CCB"/>
    <w:rsid w:val="00E5407A"/>
    <w:rsid w:val="00E54358"/>
    <w:rsid w:val="00E54950"/>
    <w:rsid w:val="00E54C2A"/>
    <w:rsid w:val="00E54DA4"/>
    <w:rsid w:val="00E55184"/>
    <w:rsid w:val="00E55355"/>
    <w:rsid w:val="00E553A1"/>
    <w:rsid w:val="00E554B1"/>
    <w:rsid w:val="00E554B6"/>
    <w:rsid w:val="00E555E1"/>
    <w:rsid w:val="00E55692"/>
    <w:rsid w:val="00E556A8"/>
    <w:rsid w:val="00E55F33"/>
    <w:rsid w:val="00E5600B"/>
    <w:rsid w:val="00E56349"/>
    <w:rsid w:val="00E56556"/>
    <w:rsid w:val="00E566AB"/>
    <w:rsid w:val="00E5726C"/>
    <w:rsid w:val="00E57BAC"/>
    <w:rsid w:val="00E600CD"/>
    <w:rsid w:val="00E614BA"/>
    <w:rsid w:val="00E61CA3"/>
    <w:rsid w:val="00E61D1D"/>
    <w:rsid w:val="00E62191"/>
    <w:rsid w:val="00E62C80"/>
    <w:rsid w:val="00E62F30"/>
    <w:rsid w:val="00E63AF6"/>
    <w:rsid w:val="00E63CD3"/>
    <w:rsid w:val="00E63CF7"/>
    <w:rsid w:val="00E661FC"/>
    <w:rsid w:val="00E665D3"/>
    <w:rsid w:val="00E668E1"/>
    <w:rsid w:val="00E66945"/>
    <w:rsid w:val="00E675F6"/>
    <w:rsid w:val="00E67804"/>
    <w:rsid w:val="00E67895"/>
    <w:rsid w:val="00E70B76"/>
    <w:rsid w:val="00E7158C"/>
    <w:rsid w:val="00E7191D"/>
    <w:rsid w:val="00E71DD5"/>
    <w:rsid w:val="00E72425"/>
    <w:rsid w:val="00E73377"/>
    <w:rsid w:val="00E73B88"/>
    <w:rsid w:val="00E741FD"/>
    <w:rsid w:val="00E747C9"/>
    <w:rsid w:val="00E74B9D"/>
    <w:rsid w:val="00E74BCE"/>
    <w:rsid w:val="00E750C8"/>
    <w:rsid w:val="00E7537B"/>
    <w:rsid w:val="00E753B1"/>
    <w:rsid w:val="00E75C19"/>
    <w:rsid w:val="00E76682"/>
    <w:rsid w:val="00E77056"/>
    <w:rsid w:val="00E77130"/>
    <w:rsid w:val="00E7769B"/>
    <w:rsid w:val="00E77912"/>
    <w:rsid w:val="00E77A4D"/>
    <w:rsid w:val="00E77E2F"/>
    <w:rsid w:val="00E809E1"/>
    <w:rsid w:val="00E80F95"/>
    <w:rsid w:val="00E81840"/>
    <w:rsid w:val="00E826C6"/>
    <w:rsid w:val="00E82B98"/>
    <w:rsid w:val="00E83354"/>
    <w:rsid w:val="00E83729"/>
    <w:rsid w:val="00E839F6"/>
    <w:rsid w:val="00E83AA0"/>
    <w:rsid w:val="00E83E2E"/>
    <w:rsid w:val="00E844A7"/>
    <w:rsid w:val="00E84866"/>
    <w:rsid w:val="00E84F8B"/>
    <w:rsid w:val="00E85A5E"/>
    <w:rsid w:val="00E85F0D"/>
    <w:rsid w:val="00E86D80"/>
    <w:rsid w:val="00E86EBD"/>
    <w:rsid w:val="00E86F43"/>
    <w:rsid w:val="00E87B3E"/>
    <w:rsid w:val="00E9031F"/>
    <w:rsid w:val="00E90A74"/>
    <w:rsid w:val="00E92B04"/>
    <w:rsid w:val="00E93098"/>
    <w:rsid w:val="00E94AA0"/>
    <w:rsid w:val="00E9595E"/>
    <w:rsid w:val="00E95D4B"/>
    <w:rsid w:val="00E9668E"/>
    <w:rsid w:val="00E966CC"/>
    <w:rsid w:val="00E9699C"/>
    <w:rsid w:val="00E969E7"/>
    <w:rsid w:val="00E97011"/>
    <w:rsid w:val="00E970F9"/>
    <w:rsid w:val="00E9710E"/>
    <w:rsid w:val="00E9712C"/>
    <w:rsid w:val="00E97EDD"/>
    <w:rsid w:val="00EA10FC"/>
    <w:rsid w:val="00EA13C2"/>
    <w:rsid w:val="00EA1E5F"/>
    <w:rsid w:val="00EA22C2"/>
    <w:rsid w:val="00EA28DE"/>
    <w:rsid w:val="00EA2E51"/>
    <w:rsid w:val="00EA3C59"/>
    <w:rsid w:val="00EA4395"/>
    <w:rsid w:val="00EA45B1"/>
    <w:rsid w:val="00EA482B"/>
    <w:rsid w:val="00EA4A48"/>
    <w:rsid w:val="00EA4D2E"/>
    <w:rsid w:val="00EA5209"/>
    <w:rsid w:val="00EA57E4"/>
    <w:rsid w:val="00EA6709"/>
    <w:rsid w:val="00EA6AFA"/>
    <w:rsid w:val="00EA6D22"/>
    <w:rsid w:val="00EB0341"/>
    <w:rsid w:val="00EB0B4C"/>
    <w:rsid w:val="00EB1B15"/>
    <w:rsid w:val="00EB1CD5"/>
    <w:rsid w:val="00EB1E99"/>
    <w:rsid w:val="00EB25BB"/>
    <w:rsid w:val="00EB2F84"/>
    <w:rsid w:val="00EB3922"/>
    <w:rsid w:val="00EB3BDA"/>
    <w:rsid w:val="00EB3C53"/>
    <w:rsid w:val="00EB3D7A"/>
    <w:rsid w:val="00EB43F8"/>
    <w:rsid w:val="00EB54B7"/>
    <w:rsid w:val="00EB60C9"/>
    <w:rsid w:val="00EB640E"/>
    <w:rsid w:val="00EB6913"/>
    <w:rsid w:val="00EB6991"/>
    <w:rsid w:val="00EB6D44"/>
    <w:rsid w:val="00EB6D91"/>
    <w:rsid w:val="00EB70AE"/>
    <w:rsid w:val="00EB76D0"/>
    <w:rsid w:val="00EC02A1"/>
    <w:rsid w:val="00EC04DD"/>
    <w:rsid w:val="00EC0ADA"/>
    <w:rsid w:val="00EC0C0C"/>
    <w:rsid w:val="00EC0F3B"/>
    <w:rsid w:val="00EC0FC9"/>
    <w:rsid w:val="00EC10C3"/>
    <w:rsid w:val="00EC1DC4"/>
    <w:rsid w:val="00EC2573"/>
    <w:rsid w:val="00EC25C5"/>
    <w:rsid w:val="00EC2AFA"/>
    <w:rsid w:val="00EC2D4B"/>
    <w:rsid w:val="00EC3C1F"/>
    <w:rsid w:val="00EC4765"/>
    <w:rsid w:val="00EC48AB"/>
    <w:rsid w:val="00EC48FE"/>
    <w:rsid w:val="00EC4BE7"/>
    <w:rsid w:val="00EC6CA6"/>
    <w:rsid w:val="00EC6CF8"/>
    <w:rsid w:val="00EC7234"/>
    <w:rsid w:val="00EC733E"/>
    <w:rsid w:val="00EC745A"/>
    <w:rsid w:val="00EC7999"/>
    <w:rsid w:val="00ED04D6"/>
    <w:rsid w:val="00ED05C8"/>
    <w:rsid w:val="00ED1650"/>
    <w:rsid w:val="00ED20DC"/>
    <w:rsid w:val="00ED22C0"/>
    <w:rsid w:val="00ED23A0"/>
    <w:rsid w:val="00ED32A1"/>
    <w:rsid w:val="00ED4367"/>
    <w:rsid w:val="00ED4ED7"/>
    <w:rsid w:val="00ED572D"/>
    <w:rsid w:val="00ED5A56"/>
    <w:rsid w:val="00ED5AFB"/>
    <w:rsid w:val="00ED5FB6"/>
    <w:rsid w:val="00ED6E67"/>
    <w:rsid w:val="00ED6EBD"/>
    <w:rsid w:val="00ED6FC4"/>
    <w:rsid w:val="00ED7ABA"/>
    <w:rsid w:val="00EE027F"/>
    <w:rsid w:val="00EE0A61"/>
    <w:rsid w:val="00EE0AE5"/>
    <w:rsid w:val="00EE0C57"/>
    <w:rsid w:val="00EE23FB"/>
    <w:rsid w:val="00EE2CD4"/>
    <w:rsid w:val="00EE2DE9"/>
    <w:rsid w:val="00EE2FAB"/>
    <w:rsid w:val="00EE32A3"/>
    <w:rsid w:val="00EE3465"/>
    <w:rsid w:val="00EE355A"/>
    <w:rsid w:val="00EE39E0"/>
    <w:rsid w:val="00EE3C29"/>
    <w:rsid w:val="00EE4002"/>
    <w:rsid w:val="00EE4195"/>
    <w:rsid w:val="00EE44F0"/>
    <w:rsid w:val="00EE46E7"/>
    <w:rsid w:val="00EE4904"/>
    <w:rsid w:val="00EE4CB2"/>
    <w:rsid w:val="00EE5ADD"/>
    <w:rsid w:val="00EE6661"/>
    <w:rsid w:val="00EE689D"/>
    <w:rsid w:val="00EE6D53"/>
    <w:rsid w:val="00EE6EDB"/>
    <w:rsid w:val="00EE6F3E"/>
    <w:rsid w:val="00EE70EC"/>
    <w:rsid w:val="00EE7CD9"/>
    <w:rsid w:val="00EE7E83"/>
    <w:rsid w:val="00EE7E96"/>
    <w:rsid w:val="00EF03D7"/>
    <w:rsid w:val="00EF1165"/>
    <w:rsid w:val="00EF11D3"/>
    <w:rsid w:val="00EF386C"/>
    <w:rsid w:val="00EF3993"/>
    <w:rsid w:val="00EF3DA2"/>
    <w:rsid w:val="00EF4CA2"/>
    <w:rsid w:val="00EF4E7F"/>
    <w:rsid w:val="00EF5AED"/>
    <w:rsid w:val="00EF6AD8"/>
    <w:rsid w:val="00EF758D"/>
    <w:rsid w:val="00F004C4"/>
    <w:rsid w:val="00F00FB4"/>
    <w:rsid w:val="00F02607"/>
    <w:rsid w:val="00F02806"/>
    <w:rsid w:val="00F02FB7"/>
    <w:rsid w:val="00F03800"/>
    <w:rsid w:val="00F03B8C"/>
    <w:rsid w:val="00F03C4D"/>
    <w:rsid w:val="00F040B4"/>
    <w:rsid w:val="00F0419C"/>
    <w:rsid w:val="00F04918"/>
    <w:rsid w:val="00F04DA6"/>
    <w:rsid w:val="00F05F91"/>
    <w:rsid w:val="00F0634B"/>
    <w:rsid w:val="00F06684"/>
    <w:rsid w:val="00F06730"/>
    <w:rsid w:val="00F07000"/>
    <w:rsid w:val="00F071C1"/>
    <w:rsid w:val="00F072BA"/>
    <w:rsid w:val="00F0780D"/>
    <w:rsid w:val="00F114F9"/>
    <w:rsid w:val="00F117A1"/>
    <w:rsid w:val="00F1199A"/>
    <w:rsid w:val="00F11EE8"/>
    <w:rsid w:val="00F126B9"/>
    <w:rsid w:val="00F1322B"/>
    <w:rsid w:val="00F1327C"/>
    <w:rsid w:val="00F13A02"/>
    <w:rsid w:val="00F1512A"/>
    <w:rsid w:val="00F15342"/>
    <w:rsid w:val="00F15E35"/>
    <w:rsid w:val="00F15EA7"/>
    <w:rsid w:val="00F16164"/>
    <w:rsid w:val="00F16B69"/>
    <w:rsid w:val="00F17150"/>
    <w:rsid w:val="00F20053"/>
    <w:rsid w:val="00F20485"/>
    <w:rsid w:val="00F206F3"/>
    <w:rsid w:val="00F20C1E"/>
    <w:rsid w:val="00F2125C"/>
    <w:rsid w:val="00F212D6"/>
    <w:rsid w:val="00F2179E"/>
    <w:rsid w:val="00F21E92"/>
    <w:rsid w:val="00F220E4"/>
    <w:rsid w:val="00F2241A"/>
    <w:rsid w:val="00F224EF"/>
    <w:rsid w:val="00F225F8"/>
    <w:rsid w:val="00F228FB"/>
    <w:rsid w:val="00F22B4A"/>
    <w:rsid w:val="00F22C81"/>
    <w:rsid w:val="00F23E85"/>
    <w:rsid w:val="00F2412C"/>
    <w:rsid w:val="00F25B09"/>
    <w:rsid w:val="00F26254"/>
    <w:rsid w:val="00F26B6A"/>
    <w:rsid w:val="00F26F08"/>
    <w:rsid w:val="00F27416"/>
    <w:rsid w:val="00F30003"/>
    <w:rsid w:val="00F30812"/>
    <w:rsid w:val="00F30C1C"/>
    <w:rsid w:val="00F310D0"/>
    <w:rsid w:val="00F31197"/>
    <w:rsid w:val="00F31B58"/>
    <w:rsid w:val="00F31C5F"/>
    <w:rsid w:val="00F324A9"/>
    <w:rsid w:val="00F32583"/>
    <w:rsid w:val="00F329DF"/>
    <w:rsid w:val="00F330EC"/>
    <w:rsid w:val="00F332D2"/>
    <w:rsid w:val="00F3357F"/>
    <w:rsid w:val="00F34198"/>
    <w:rsid w:val="00F353B5"/>
    <w:rsid w:val="00F355DD"/>
    <w:rsid w:val="00F360A0"/>
    <w:rsid w:val="00F36B54"/>
    <w:rsid w:val="00F36CC3"/>
    <w:rsid w:val="00F37037"/>
    <w:rsid w:val="00F37511"/>
    <w:rsid w:val="00F40686"/>
    <w:rsid w:val="00F409D1"/>
    <w:rsid w:val="00F40E54"/>
    <w:rsid w:val="00F415F5"/>
    <w:rsid w:val="00F41CC0"/>
    <w:rsid w:val="00F420F0"/>
    <w:rsid w:val="00F4216D"/>
    <w:rsid w:val="00F4248D"/>
    <w:rsid w:val="00F42763"/>
    <w:rsid w:val="00F43257"/>
    <w:rsid w:val="00F4378B"/>
    <w:rsid w:val="00F43AAE"/>
    <w:rsid w:val="00F43B68"/>
    <w:rsid w:val="00F43D5B"/>
    <w:rsid w:val="00F4433D"/>
    <w:rsid w:val="00F44BC3"/>
    <w:rsid w:val="00F4542D"/>
    <w:rsid w:val="00F45847"/>
    <w:rsid w:val="00F45E9C"/>
    <w:rsid w:val="00F46FCB"/>
    <w:rsid w:val="00F47AEA"/>
    <w:rsid w:val="00F47DDD"/>
    <w:rsid w:val="00F502DC"/>
    <w:rsid w:val="00F50706"/>
    <w:rsid w:val="00F5082A"/>
    <w:rsid w:val="00F51CE0"/>
    <w:rsid w:val="00F527DE"/>
    <w:rsid w:val="00F53175"/>
    <w:rsid w:val="00F5320C"/>
    <w:rsid w:val="00F53490"/>
    <w:rsid w:val="00F5401B"/>
    <w:rsid w:val="00F5547B"/>
    <w:rsid w:val="00F55E15"/>
    <w:rsid w:val="00F56249"/>
    <w:rsid w:val="00F564A8"/>
    <w:rsid w:val="00F571C1"/>
    <w:rsid w:val="00F57214"/>
    <w:rsid w:val="00F57369"/>
    <w:rsid w:val="00F577E7"/>
    <w:rsid w:val="00F60166"/>
    <w:rsid w:val="00F605A9"/>
    <w:rsid w:val="00F61641"/>
    <w:rsid w:val="00F61907"/>
    <w:rsid w:val="00F62302"/>
    <w:rsid w:val="00F62AE7"/>
    <w:rsid w:val="00F62DFF"/>
    <w:rsid w:val="00F632CB"/>
    <w:rsid w:val="00F632F7"/>
    <w:rsid w:val="00F63726"/>
    <w:rsid w:val="00F63898"/>
    <w:rsid w:val="00F64062"/>
    <w:rsid w:val="00F64EE3"/>
    <w:rsid w:val="00F64F69"/>
    <w:rsid w:val="00F658BF"/>
    <w:rsid w:val="00F659D7"/>
    <w:rsid w:val="00F65ABB"/>
    <w:rsid w:val="00F65C00"/>
    <w:rsid w:val="00F65DD9"/>
    <w:rsid w:val="00F66685"/>
    <w:rsid w:val="00F6669B"/>
    <w:rsid w:val="00F66EA3"/>
    <w:rsid w:val="00F672C1"/>
    <w:rsid w:val="00F677BB"/>
    <w:rsid w:val="00F677E7"/>
    <w:rsid w:val="00F67CBE"/>
    <w:rsid w:val="00F70345"/>
    <w:rsid w:val="00F70B61"/>
    <w:rsid w:val="00F70C75"/>
    <w:rsid w:val="00F715AE"/>
    <w:rsid w:val="00F71976"/>
    <w:rsid w:val="00F71DFD"/>
    <w:rsid w:val="00F71F12"/>
    <w:rsid w:val="00F7328F"/>
    <w:rsid w:val="00F7348B"/>
    <w:rsid w:val="00F7432A"/>
    <w:rsid w:val="00F74F76"/>
    <w:rsid w:val="00F7521A"/>
    <w:rsid w:val="00F75454"/>
    <w:rsid w:val="00F755F4"/>
    <w:rsid w:val="00F758E6"/>
    <w:rsid w:val="00F75B84"/>
    <w:rsid w:val="00F75CE5"/>
    <w:rsid w:val="00F76EDA"/>
    <w:rsid w:val="00F770F7"/>
    <w:rsid w:val="00F775E0"/>
    <w:rsid w:val="00F775EC"/>
    <w:rsid w:val="00F77948"/>
    <w:rsid w:val="00F802DC"/>
    <w:rsid w:val="00F803A7"/>
    <w:rsid w:val="00F80E0B"/>
    <w:rsid w:val="00F80ED7"/>
    <w:rsid w:val="00F80F7B"/>
    <w:rsid w:val="00F810CC"/>
    <w:rsid w:val="00F8373B"/>
    <w:rsid w:val="00F83877"/>
    <w:rsid w:val="00F839D6"/>
    <w:rsid w:val="00F83B1B"/>
    <w:rsid w:val="00F84047"/>
    <w:rsid w:val="00F84482"/>
    <w:rsid w:val="00F8499F"/>
    <w:rsid w:val="00F84C1C"/>
    <w:rsid w:val="00F852BF"/>
    <w:rsid w:val="00F85F34"/>
    <w:rsid w:val="00F862A8"/>
    <w:rsid w:val="00F864A4"/>
    <w:rsid w:val="00F864E6"/>
    <w:rsid w:val="00F86947"/>
    <w:rsid w:val="00F86954"/>
    <w:rsid w:val="00F86E2A"/>
    <w:rsid w:val="00F86EE9"/>
    <w:rsid w:val="00F902D0"/>
    <w:rsid w:val="00F904F1"/>
    <w:rsid w:val="00F90973"/>
    <w:rsid w:val="00F90ABC"/>
    <w:rsid w:val="00F90DF1"/>
    <w:rsid w:val="00F911C4"/>
    <w:rsid w:val="00F91495"/>
    <w:rsid w:val="00F91A5C"/>
    <w:rsid w:val="00F922F4"/>
    <w:rsid w:val="00F928B5"/>
    <w:rsid w:val="00F92ED3"/>
    <w:rsid w:val="00F93303"/>
    <w:rsid w:val="00F93A5C"/>
    <w:rsid w:val="00F93DE8"/>
    <w:rsid w:val="00F94626"/>
    <w:rsid w:val="00F959C0"/>
    <w:rsid w:val="00F95F52"/>
    <w:rsid w:val="00F961F9"/>
    <w:rsid w:val="00F96881"/>
    <w:rsid w:val="00F96C93"/>
    <w:rsid w:val="00F97402"/>
    <w:rsid w:val="00F97960"/>
    <w:rsid w:val="00F97A70"/>
    <w:rsid w:val="00F97F71"/>
    <w:rsid w:val="00FA0492"/>
    <w:rsid w:val="00FA08CB"/>
    <w:rsid w:val="00FA0B88"/>
    <w:rsid w:val="00FA0C65"/>
    <w:rsid w:val="00FA13B1"/>
    <w:rsid w:val="00FA1494"/>
    <w:rsid w:val="00FA1F73"/>
    <w:rsid w:val="00FA2452"/>
    <w:rsid w:val="00FA4205"/>
    <w:rsid w:val="00FA4302"/>
    <w:rsid w:val="00FA47A2"/>
    <w:rsid w:val="00FA4B14"/>
    <w:rsid w:val="00FA4B84"/>
    <w:rsid w:val="00FA4CCF"/>
    <w:rsid w:val="00FA57B8"/>
    <w:rsid w:val="00FA6A30"/>
    <w:rsid w:val="00FA6EB8"/>
    <w:rsid w:val="00FB0993"/>
    <w:rsid w:val="00FB0DD1"/>
    <w:rsid w:val="00FB1A2C"/>
    <w:rsid w:val="00FB2675"/>
    <w:rsid w:val="00FB3091"/>
    <w:rsid w:val="00FB3974"/>
    <w:rsid w:val="00FB3EB9"/>
    <w:rsid w:val="00FB50CB"/>
    <w:rsid w:val="00FB538A"/>
    <w:rsid w:val="00FB5444"/>
    <w:rsid w:val="00FB5853"/>
    <w:rsid w:val="00FB5898"/>
    <w:rsid w:val="00FB60D0"/>
    <w:rsid w:val="00FB631B"/>
    <w:rsid w:val="00FB6681"/>
    <w:rsid w:val="00FB6EFA"/>
    <w:rsid w:val="00FB7053"/>
    <w:rsid w:val="00FB78CE"/>
    <w:rsid w:val="00FB7A85"/>
    <w:rsid w:val="00FC0988"/>
    <w:rsid w:val="00FC0A33"/>
    <w:rsid w:val="00FC1D93"/>
    <w:rsid w:val="00FC1EB3"/>
    <w:rsid w:val="00FC2043"/>
    <w:rsid w:val="00FC2459"/>
    <w:rsid w:val="00FC2EFD"/>
    <w:rsid w:val="00FC318E"/>
    <w:rsid w:val="00FC32A6"/>
    <w:rsid w:val="00FC444D"/>
    <w:rsid w:val="00FC4AEE"/>
    <w:rsid w:val="00FC4DFE"/>
    <w:rsid w:val="00FC5A69"/>
    <w:rsid w:val="00FC5AC8"/>
    <w:rsid w:val="00FC695F"/>
    <w:rsid w:val="00FC74CF"/>
    <w:rsid w:val="00FC7F7C"/>
    <w:rsid w:val="00FD0564"/>
    <w:rsid w:val="00FD0893"/>
    <w:rsid w:val="00FD0936"/>
    <w:rsid w:val="00FD0ABD"/>
    <w:rsid w:val="00FD108A"/>
    <w:rsid w:val="00FD12AA"/>
    <w:rsid w:val="00FD1877"/>
    <w:rsid w:val="00FD20B0"/>
    <w:rsid w:val="00FD20D2"/>
    <w:rsid w:val="00FD2309"/>
    <w:rsid w:val="00FD27EC"/>
    <w:rsid w:val="00FD29FF"/>
    <w:rsid w:val="00FD2B93"/>
    <w:rsid w:val="00FD3437"/>
    <w:rsid w:val="00FD3C96"/>
    <w:rsid w:val="00FD470B"/>
    <w:rsid w:val="00FD48C8"/>
    <w:rsid w:val="00FD563D"/>
    <w:rsid w:val="00FD5C32"/>
    <w:rsid w:val="00FD5D0D"/>
    <w:rsid w:val="00FD7527"/>
    <w:rsid w:val="00FD77C8"/>
    <w:rsid w:val="00FD79D7"/>
    <w:rsid w:val="00FD7A62"/>
    <w:rsid w:val="00FD7B79"/>
    <w:rsid w:val="00FD7CEE"/>
    <w:rsid w:val="00FD7EE4"/>
    <w:rsid w:val="00FE027C"/>
    <w:rsid w:val="00FE0507"/>
    <w:rsid w:val="00FE0C16"/>
    <w:rsid w:val="00FE0F50"/>
    <w:rsid w:val="00FE1027"/>
    <w:rsid w:val="00FE1452"/>
    <w:rsid w:val="00FE157B"/>
    <w:rsid w:val="00FE1622"/>
    <w:rsid w:val="00FE1F09"/>
    <w:rsid w:val="00FE1F5D"/>
    <w:rsid w:val="00FE1FF6"/>
    <w:rsid w:val="00FE38AE"/>
    <w:rsid w:val="00FE40CD"/>
    <w:rsid w:val="00FE41BD"/>
    <w:rsid w:val="00FE4D73"/>
    <w:rsid w:val="00FE53CD"/>
    <w:rsid w:val="00FE57A2"/>
    <w:rsid w:val="00FE5ECA"/>
    <w:rsid w:val="00FE6279"/>
    <w:rsid w:val="00FE635D"/>
    <w:rsid w:val="00FE7F2C"/>
    <w:rsid w:val="00FF0800"/>
    <w:rsid w:val="00FF0BFB"/>
    <w:rsid w:val="00FF241A"/>
    <w:rsid w:val="00FF29EE"/>
    <w:rsid w:val="00FF2A00"/>
    <w:rsid w:val="00FF3CCC"/>
    <w:rsid w:val="00FF3E69"/>
    <w:rsid w:val="00FF43CB"/>
    <w:rsid w:val="00FF4CB4"/>
    <w:rsid w:val="00FF4E8E"/>
    <w:rsid w:val="00FF5006"/>
    <w:rsid w:val="00FF5183"/>
    <w:rsid w:val="00FF5221"/>
    <w:rsid w:val="00FF53FC"/>
    <w:rsid w:val="00FF5565"/>
    <w:rsid w:val="00FF556A"/>
    <w:rsid w:val="00FF61FA"/>
    <w:rsid w:val="00FF647C"/>
    <w:rsid w:val="00FF72F4"/>
    <w:rsid w:val="00FF74D2"/>
    <w:rsid w:val="00FF756E"/>
    <w:rsid w:val="00FF7E0E"/>
    <w:rsid w:val="00FF7F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D0558"/>
  <w15:docId w15:val="{492EA164-2C15-4456-AE93-D104A937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78"/>
  </w:style>
  <w:style w:type="paragraph" w:styleId="Ttulo2">
    <w:name w:val="heading 2"/>
    <w:basedOn w:val="Normal"/>
    <w:next w:val="Normal"/>
    <w:link w:val="Ttulo2Car"/>
    <w:qFormat/>
    <w:rsid w:val="0001176E"/>
    <w:pPr>
      <w:keepNext/>
      <w:suppressAutoHyphens/>
      <w:spacing w:after="0" w:line="240" w:lineRule="auto"/>
      <w:jc w:val="center"/>
      <w:outlineLvl w:val="1"/>
    </w:pPr>
    <w:rPr>
      <w:rFonts w:ascii="Courier New" w:eastAsia="Times New Roman" w:hAnsi="Courier New" w:cs="Times New Roman"/>
      <w:b/>
      <w:bCs/>
      <w:sz w:val="28"/>
      <w:szCs w:val="20"/>
      <w:lang w:val="es-DO" w:eastAsia="es-ES" w:bidi="he-IL"/>
    </w:rPr>
  </w:style>
  <w:style w:type="paragraph" w:styleId="Ttulo3">
    <w:name w:val="heading 3"/>
    <w:basedOn w:val="Normal"/>
    <w:next w:val="Normal"/>
    <w:link w:val="Ttulo3Car"/>
    <w:uiPriority w:val="9"/>
    <w:semiHidden/>
    <w:unhideWhenUsed/>
    <w:qFormat/>
    <w:rsid w:val="00AA7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F4E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7C5"/>
    <w:pPr>
      <w:ind w:left="720"/>
      <w:contextualSpacing/>
    </w:pPr>
  </w:style>
  <w:style w:type="paragraph" w:styleId="Encabezado">
    <w:name w:val="header"/>
    <w:basedOn w:val="Normal"/>
    <w:link w:val="EncabezadoCar"/>
    <w:uiPriority w:val="99"/>
    <w:unhideWhenUsed/>
    <w:rsid w:val="00C50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ADC"/>
  </w:style>
  <w:style w:type="paragraph" w:styleId="Piedepgina">
    <w:name w:val="footer"/>
    <w:basedOn w:val="Normal"/>
    <w:link w:val="PiedepginaCar"/>
    <w:uiPriority w:val="99"/>
    <w:unhideWhenUsed/>
    <w:rsid w:val="00FD0ABD"/>
    <w:pPr>
      <w:tabs>
        <w:tab w:val="center" w:pos="4252"/>
        <w:tab w:val="right" w:pos="8504"/>
      </w:tabs>
      <w:spacing w:after="0" w:line="240" w:lineRule="auto"/>
      <w:jc w:val="right"/>
    </w:pPr>
    <w:rPr>
      <w:b/>
      <w:bCs/>
      <w:sz w:val="20"/>
      <w:szCs w:val="20"/>
      <w:lang w:val="es-ES"/>
    </w:rPr>
  </w:style>
  <w:style w:type="character" w:customStyle="1" w:styleId="PiedepginaCar">
    <w:name w:val="Pie de página Car"/>
    <w:basedOn w:val="Fuentedeprrafopredeter"/>
    <w:link w:val="Piedepgina"/>
    <w:uiPriority w:val="99"/>
    <w:rsid w:val="00FD0ABD"/>
    <w:rPr>
      <w:b/>
      <w:bCs/>
      <w:sz w:val="20"/>
      <w:szCs w:val="20"/>
      <w:lang w:val="es-ES"/>
    </w:rPr>
  </w:style>
  <w:style w:type="character" w:customStyle="1" w:styleId="Ttulo2Car">
    <w:name w:val="Título 2 Car"/>
    <w:basedOn w:val="Fuentedeprrafopredeter"/>
    <w:link w:val="Ttulo2"/>
    <w:rsid w:val="0001176E"/>
    <w:rPr>
      <w:rFonts w:ascii="Courier New" w:eastAsia="Times New Roman" w:hAnsi="Courier New" w:cs="Times New Roman"/>
      <w:b/>
      <w:bCs/>
      <w:sz w:val="28"/>
      <w:szCs w:val="20"/>
      <w:lang w:val="es-DO" w:eastAsia="es-ES" w:bidi="he-IL"/>
    </w:rPr>
  </w:style>
  <w:style w:type="character" w:customStyle="1" w:styleId="Ttulo3Car">
    <w:name w:val="Título 3 Car"/>
    <w:basedOn w:val="Fuentedeprrafopredeter"/>
    <w:link w:val="Ttulo3"/>
    <w:uiPriority w:val="9"/>
    <w:semiHidden/>
    <w:rsid w:val="00AA74E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148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8CB"/>
    <w:rPr>
      <w:rFonts w:ascii="Segoe UI" w:hAnsi="Segoe UI" w:cs="Segoe UI"/>
      <w:sz w:val="18"/>
      <w:szCs w:val="18"/>
    </w:rPr>
  </w:style>
  <w:style w:type="paragraph" w:styleId="Sinespaciado">
    <w:name w:val="No Spacing"/>
    <w:uiPriority w:val="1"/>
    <w:qFormat/>
    <w:rsid w:val="00685151"/>
    <w:pPr>
      <w:spacing w:after="0" w:line="240" w:lineRule="auto"/>
    </w:pPr>
    <w:rPr>
      <w:rFonts w:eastAsiaTheme="minorEastAsia"/>
      <w:sz w:val="21"/>
      <w:szCs w:val="21"/>
      <w:lang w:val="es-DO"/>
    </w:rPr>
  </w:style>
  <w:style w:type="paragraph" w:customStyle="1" w:styleId="Estilo1">
    <w:name w:val="Estilo1"/>
    <w:basedOn w:val="Piedepgina"/>
    <w:link w:val="Estilo1Car"/>
    <w:qFormat/>
    <w:rsid w:val="00FD0ABD"/>
  </w:style>
  <w:style w:type="character" w:customStyle="1" w:styleId="Estilo1Car">
    <w:name w:val="Estilo1 Car"/>
    <w:basedOn w:val="PiedepginaCar"/>
    <w:link w:val="Estilo1"/>
    <w:rsid w:val="00FD0ABD"/>
    <w:rPr>
      <w:b/>
      <w:bCs/>
      <w:sz w:val="20"/>
      <w:szCs w:val="20"/>
      <w:lang w:val="es-ES"/>
    </w:rPr>
  </w:style>
  <w:style w:type="character" w:customStyle="1" w:styleId="CarCar">
    <w:name w:val="Car Car"/>
    <w:basedOn w:val="Fuentedeprrafopredeter"/>
    <w:rsid w:val="003309CA"/>
    <w:rPr>
      <w:rFonts w:ascii="Tahoma" w:hAnsi="Tahoma" w:cs="Tahoma" w:hint="default"/>
      <w:b/>
      <w:bCs/>
      <w:sz w:val="22"/>
      <w:szCs w:val="24"/>
      <w:lang w:val="es-DO" w:eastAsia="es-ES" w:bidi="ar-SA"/>
    </w:rPr>
  </w:style>
  <w:style w:type="character" w:customStyle="1" w:styleId="Ttulo4Car">
    <w:name w:val="Título 4 Car"/>
    <w:basedOn w:val="Fuentedeprrafopredeter"/>
    <w:link w:val="Ttulo4"/>
    <w:uiPriority w:val="9"/>
    <w:semiHidden/>
    <w:rsid w:val="005F4E5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660">
      <w:bodyDiv w:val="1"/>
      <w:marLeft w:val="0"/>
      <w:marRight w:val="0"/>
      <w:marTop w:val="0"/>
      <w:marBottom w:val="0"/>
      <w:divBdr>
        <w:top w:val="none" w:sz="0" w:space="0" w:color="auto"/>
        <w:left w:val="none" w:sz="0" w:space="0" w:color="auto"/>
        <w:bottom w:val="none" w:sz="0" w:space="0" w:color="auto"/>
        <w:right w:val="none" w:sz="0" w:space="0" w:color="auto"/>
      </w:divBdr>
    </w:div>
    <w:div w:id="59863465">
      <w:bodyDiv w:val="1"/>
      <w:marLeft w:val="0"/>
      <w:marRight w:val="0"/>
      <w:marTop w:val="0"/>
      <w:marBottom w:val="0"/>
      <w:divBdr>
        <w:top w:val="none" w:sz="0" w:space="0" w:color="auto"/>
        <w:left w:val="none" w:sz="0" w:space="0" w:color="auto"/>
        <w:bottom w:val="none" w:sz="0" w:space="0" w:color="auto"/>
        <w:right w:val="none" w:sz="0" w:space="0" w:color="auto"/>
      </w:divBdr>
    </w:div>
    <w:div w:id="65304070">
      <w:bodyDiv w:val="1"/>
      <w:marLeft w:val="0"/>
      <w:marRight w:val="0"/>
      <w:marTop w:val="0"/>
      <w:marBottom w:val="0"/>
      <w:divBdr>
        <w:top w:val="none" w:sz="0" w:space="0" w:color="auto"/>
        <w:left w:val="none" w:sz="0" w:space="0" w:color="auto"/>
        <w:bottom w:val="none" w:sz="0" w:space="0" w:color="auto"/>
        <w:right w:val="none" w:sz="0" w:space="0" w:color="auto"/>
      </w:divBdr>
    </w:div>
    <w:div w:id="87774263">
      <w:bodyDiv w:val="1"/>
      <w:marLeft w:val="0"/>
      <w:marRight w:val="0"/>
      <w:marTop w:val="0"/>
      <w:marBottom w:val="0"/>
      <w:divBdr>
        <w:top w:val="none" w:sz="0" w:space="0" w:color="auto"/>
        <w:left w:val="none" w:sz="0" w:space="0" w:color="auto"/>
        <w:bottom w:val="none" w:sz="0" w:space="0" w:color="auto"/>
        <w:right w:val="none" w:sz="0" w:space="0" w:color="auto"/>
      </w:divBdr>
    </w:div>
    <w:div w:id="94710755">
      <w:bodyDiv w:val="1"/>
      <w:marLeft w:val="0"/>
      <w:marRight w:val="0"/>
      <w:marTop w:val="0"/>
      <w:marBottom w:val="0"/>
      <w:divBdr>
        <w:top w:val="none" w:sz="0" w:space="0" w:color="auto"/>
        <w:left w:val="none" w:sz="0" w:space="0" w:color="auto"/>
        <w:bottom w:val="none" w:sz="0" w:space="0" w:color="auto"/>
        <w:right w:val="none" w:sz="0" w:space="0" w:color="auto"/>
      </w:divBdr>
    </w:div>
    <w:div w:id="146626757">
      <w:bodyDiv w:val="1"/>
      <w:marLeft w:val="0"/>
      <w:marRight w:val="0"/>
      <w:marTop w:val="0"/>
      <w:marBottom w:val="0"/>
      <w:divBdr>
        <w:top w:val="none" w:sz="0" w:space="0" w:color="auto"/>
        <w:left w:val="none" w:sz="0" w:space="0" w:color="auto"/>
        <w:bottom w:val="none" w:sz="0" w:space="0" w:color="auto"/>
        <w:right w:val="none" w:sz="0" w:space="0" w:color="auto"/>
      </w:divBdr>
    </w:div>
    <w:div w:id="153499962">
      <w:bodyDiv w:val="1"/>
      <w:marLeft w:val="0"/>
      <w:marRight w:val="0"/>
      <w:marTop w:val="0"/>
      <w:marBottom w:val="0"/>
      <w:divBdr>
        <w:top w:val="none" w:sz="0" w:space="0" w:color="auto"/>
        <w:left w:val="none" w:sz="0" w:space="0" w:color="auto"/>
        <w:bottom w:val="none" w:sz="0" w:space="0" w:color="auto"/>
        <w:right w:val="none" w:sz="0" w:space="0" w:color="auto"/>
      </w:divBdr>
    </w:div>
    <w:div w:id="163135077">
      <w:bodyDiv w:val="1"/>
      <w:marLeft w:val="0"/>
      <w:marRight w:val="0"/>
      <w:marTop w:val="0"/>
      <w:marBottom w:val="0"/>
      <w:divBdr>
        <w:top w:val="none" w:sz="0" w:space="0" w:color="auto"/>
        <w:left w:val="none" w:sz="0" w:space="0" w:color="auto"/>
        <w:bottom w:val="none" w:sz="0" w:space="0" w:color="auto"/>
        <w:right w:val="none" w:sz="0" w:space="0" w:color="auto"/>
      </w:divBdr>
    </w:div>
    <w:div w:id="177475373">
      <w:bodyDiv w:val="1"/>
      <w:marLeft w:val="0"/>
      <w:marRight w:val="0"/>
      <w:marTop w:val="0"/>
      <w:marBottom w:val="0"/>
      <w:divBdr>
        <w:top w:val="none" w:sz="0" w:space="0" w:color="auto"/>
        <w:left w:val="none" w:sz="0" w:space="0" w:color="auto"/>
        <w:bottom w:val="none" w:sz="0" w:space="0" w:color="auto"/>
        <w:right w:val="none" w:sz="0" w:space="0" w:color="auto"/>
      </w:divBdr>
    </w:div>
    <w:div w:id="178928896">
      <w:bodyDiv w:val="1"/>
      <w:marLeft w:val="0"/>
      <w:marRight w:val="0"/>
      <w:marTop w:val="0"/>
      <w:marBottom w:val="0"/>
      <w:divBdr>
        <w:top w:val="none" w:sz="0" w:space="0" w:color="auto"/>
        <w:left w:val="none" w:sz="0" w:space="0" w:color="auto"/>
        <w:bottom w:val="none" w:sz="0" w:space="0" w:color="auto"/>
        <w:right w:val="none" w:sz="0" w:space="0" w:color="auto"/>
      </w:divBdr>
    </w:div>
    <w:div w:id="204367702">
      <w:bodyDiv w:val="1"/>
      <w:marLeft w:val="0"/>
      <w:marRight w:val="0"/>
      <w:marTop w:val="0"/>
      <w:marBottom w:val="0"/>
      <w:divBdr>
        <w:top w:val="none" w:sz="0" w:space="0" w:color="auto"/>
        <w:left w:val="none" w:sz="0" w:space="0" w:color="auto"/>
        <w:bottom w:val="none" w:sz="0" w:space="0" w:color="auto"/>
        <w:right w:val="none" w:sz="0" w:space="0" w:color="auto"/>
      </w:divBdr>
    </w:div>
    <w:div w:id="228540010">
      <w:bodyDiv w:val="1"/>
      <w:marLeft w:val="0"/>
      <w:marRight w:val="0"/>
      <w:marTop w:val="0"/>
      <w:marBottom w:val="0"/>
      <w:divBdr>
        <w:top w:val="none" w:sz="0" w:space="0" w:color="auto"/>
        <w:left w:val="none" w:sz="0" w:space="0" w:color="auto"/>
        <w:bottom w:val="none" w:sz="0" w:space="0" w:color="auto"/>
        <w:right w:val="none" w:sz="0" w:space="0" w:color="auto"/>
      </w:divBdr>
    </w:div>
    <w:div w:id="240409598">
      <w:bodyDiv w:val="1"/>
      <w:marLeft w:val="0"/>
      <w:marRight w:val="0"/>
      <w:marTop w:val="0"/>
      <w:marBottom w:val="0"/>
      <w:divBdr>
        <w:top w:val="none" w:sz="0" w:space="0" w:color="auto"/>
        <w:left w:val="none" w:sz="0" w:space="0" w:color="auto"/>
        <w:bottom w:val="none" w:sz="0" w:space="0" w:color="auto"/>
        <w:right w:val="none" w:sz="0" w:space="0" w:color="auto"/>
      </w:divBdr>
    </w:div>
    <w:div w:id="273027277">
      <w:bodyDiv w:val="1"/>
      <w:marLeft w:val="0"/>
      <w:marRight w:val="0"/>
      <w:marTop w:val="0"/>
      <w:marBottom w:val="0"/>
      <w:divBdr>
        <w:top w:val="none" w:sz="0" w:space="0" w:color="auto"/>
        <w:left w:val="none" w:sz="0" w:space="0" w:color="auto"/>
        <w:bottom w:val="none" w:sz="0" w:space="0" w:color="auto"/>
        <w:right w:val="none" w:sz="0" w:space="0" w:color="auto"/>
      </w:divBdr>
    </w:div>
    <w:div w:id="281959126">
      <w:bodyDiv w:val="1"/>
      <w:marLeft w:val="0"/>
      <w:marRight w:val="0"/>
      <w:marTop w:val="0"/>
      <w:marBottom w:val="0"/>
      <w:divBdr>
        <w:top w:val="none" w:sz="0" w:space="0" w:color="auto"/>
        <w:left w:val="none" w:sz="0" w:space="0" w:color="auto"/>
        <w:bottom w:val="none" w:sz="0" w:space="0" w:color="auto"/>
        <w:right w:val="none" w:sz="0" w:space="0" w:color="auto"/>
      </w:divBdr>
    </w:div>
    <w:div w:id="308755347">
      <w:bodyDiv w:val="1"/>
      <w:marLeft w:val="0"/>
      <w:marRight w:val="0"/>
      <w:marTop w:val="0"/>
      <w:marBottom w:val="0"/>
      <w:divBdr>
        <w:top w:val="none" w:sz="0" w:space="0" w:color="auto"/>
        <w:left w:val="none" w:sz="0" w:space="0" w:color="auto"/>
        <w:bottom w:val="none" w:sz="0" w:space="0" w:color="auto"/>
        <w:right w:val="none" w:sz="0" w:space="0" w:color="auto"/>
      </w:divBdr>
    </w:div>
    <w:div w:id="326640243">
      <w:bodyDiv w:val="1"/>
      <w:marLeft w:val="0"/>
      <w:marRight w:val="0"/>
      <w:marTop w:val="0"/>
      <w:marBottom w:val="0"/>
      <w:divBdr>
        <w:top w:val="none" w:sz="0" w:space="0" w:color="auto"/>
        <w:left w:val="none" w:sz="0" w:space="0" w:color="auto"/>
        <w:bottom w:val="none" w:sz="0" w:space="0" w:color="auto"/>
        <w:right w:val="none" w:sz="0" w:space="0" w:color="auto"/>
      </w:divBdr>
    </w:div>
    <w:div w:id="356471725">
      <w:bodyDiv w:val="1"/>
      <w:marLeft w:val="0"/>
      <w:marRight w:val="0"/>
      <w:marTop w:val="0"/>
      <w:marBottom w:val="0"/>
      <w:divBdr>
        <w:top w:val="none" w:sz="0" w:space="0" w:color="auto"/>
        <w:left w:val="none" w:sz="0" w:space="0" w:color="auto"/>
        <w:bottom w:val="none" w:sz="0" w:space="0" w:color="auto"/>
        <w:right w:val="none" w:sz="0" w:space="0" w:color="auto"/>
      </w:divBdr>
    </w:div>
    <w:div w:id="445274805">
      <w:bodyDiv w:val="1"/>
      <w:marLeft w:val="0"/>
      <w:marRight w:val="0"/>
      <w:marTop w:val="0"/>
      <w:marBottom w:val="0"/>
      <w:divBdr>
        <w:top w:val="none" w:sz="0" w:space="0" w:color="auto"/>
        <w:left w:val="none" w:sz="0" w:space="0" w:color="auto"/>
        <w:bottom w:val="none" w:sz="0" w:space="0" w:color="auto"/>
        <w:right w:val="none" w:sz="0" w:space="0" w:color="auto"/>
      </w:divBdr>
    </w:div>
    <w:div w:id="472333584">
      <w:bodyDiv w:val="1"/>
      <w:marLeft w:val="0"/>
      <w:marRight w:val="0"/>
      <w:marTop w:val="0"/>
      <w:marBottom w:val="0"/>
      <w:divBdr>
        <w:top w:val="none" w:sz="0" w:space="0" w:color="auto"/>
        <w:left w:val="none" w:sz="0" w:space="0" w:color="auto"/>
        <w:bottom w:val="none" w:sz="0" w:space="0" w:color="auto"/>
        <w:right w:val="none" w:sz="0" w:space="0" w:color="auto"/>
      </w:divBdr>
    </w:div>
    <w:div w:id="489099554">
      <w:bodyDiv w:val="1"/>
      <w:marLeft w:val="0"/>
      <w:marRight w:val="0"/>
      <w:marTop w:val="0"/>
      <w:marBottom w:val="0"/>
      <w:divBdr>
        <w:top w:val="none" w:sz="0" w:space="0" w:color="auto"/>
        <w:left w:val="none" w:sz="0" w:space="0" w:color="auto"/>
        <w:bottom w:val="none" w:sz="0" w:space="0" w:color="auto"/>
        <w:right w:val="none" w:sz="0" w:space="0" w:color="auto"/>
      </w:divBdr>
    </w:div>
    <w:div w:id="499546891">
      <w:bodyDiv w:val="1"/>
      <w:marLeft w:val="0"/>
      <w:marRight w:val="0"/>
      <w:marTop w:val="0"/>
      <w:marBottom w:val="0"/>
      <w:divBdr>
        <w:top w:val="none" w:sz="0" w:space="0" w:color="auto"/>
        <w:left w:val="none" w:sz="0" w:space="0" w:color="auto"/>
        <w:bottom w:val="none" w:sz="0" w:space="0" w:color="auto"/>
        <w:right w:val="none" w:sz="0" w:space="0" w:color="auto"/>
      </w:divBdr>
    </w:div>
    <w:div w:id="517893528">
      <w:bodyDiv w:val="1"/>
      <w:marLeft w:val="0"/>
      <w:marRight w:val="0"/>
      <w:marTop w:val="0"/>
      <w:marBottom w:val="0"/>
      <w:divBdr>
        <w:top w:val="none" w:sz="0" w:space="0" w:color="auto"/>
        <w:left w:val="none" w:sz="0" w:space="0" w:color="auto"/>
        <w:bottom w:val="none" w:sz="0" w:space="0" w:color="auto"/>
        <w:right w:val="none" w:sz="0" w:space="0" w:color="auto"/>
      </w:divBdr>
    </w:div>
    <w:div w:id="526799194">
      <w:bodyDiv w:val="1"/>
      <w:marLeft w:val="0"/>
      <w:marRight w:val="0"/>
      <w:marTop w:val="0"/>
      <w:marBottom w:val="0"/>
      <w:divBdr>
        <w:top w:val="none" w:sz="0" w:space="0" w:color="auto"/>
        <w:left w:val="none" w:sz="0" w:space="0" w:color="auto"/>
        <w:bottom w:val="none" w:sz="0" w:space="0" w:color="auto"/>
        <w:right w:val="none" w:sz="0" w:space="0" w:color="auto"/>
      </w:divBdr>
    </w:div>
    <w:div w:id="535889809">
      <w:bodyDiv w:val="1"/>
      <w:marLeft w:val="0"/>
      <w:marRight w:val="0"/>
      <w:marTop w:val="0"/>
      <w:marBottom w:val="0"/>
      <w:divBdr>
        <w:top w:val="none" w:sz="0" w:space="0" w:color="auto"/>
        <w:left w:val="none" w:sz="0" w:space="0" w:color="auto"/>
        <w:bottom w:val="none" w:sz="0" w:space="0" w:color="auto"/>
        <w:right w:val="none" w:sz="0" w:space="0" w:color="auto"/>
      </w:divBdr>
    </w:div>
    <w:div w:id="547255966">
      <w:bodyDiv w:val="1"/>
      <w:marLeft w:val="0"/>
      <w:marRight w:val="0"/>
      <w:marTop w:val="0"/>
      <w:marBottom w:val="0"/>
      <w:divBdr>
        <w:top w:val="none" w:sz="0" w:space="0" w:color="auto"/>
        <w:left w:val="none" w:sz="0" w:space="0" w:color="auto"/>
        <w:bottom w:val="none" w:sz="0" w:space="0" w:color="auto"/>
        <w:right w:val="none" w:sz="0" w:space="0" w:color="auto"/>
      </w:divBdr>
    </w:div>
    <w:div w:id="548613902">
      <w:bodyDiv w:val="1"/>
      <w:marLeft w:val="0"/>
      <w:marRight w:val="0"/>
      <w:marTop w:val="0"/>
      <w:marBottom w:val="0"/>
      <w:divBdr>
        <w:top w:val="none" w:sz="0" w:space="0" w:color="auto"/>
        <w:left w:val="none" w:sz="0" w:space="0" w:color="auto"/>
        <w:bottom w:val="none" w:sz="0" w:space="0" w:color="auto"/>
        <w:right w:val="none" w:sz="0" w:space="0" w:color="auto"/>
      </w:divBdr>
    </w:div>
    <w:div w:id="550388200">
      <w:bodyDiv w:val="1"/>
      <w:marLeft w:val="0"/>
      <w:marRight w:val="0"/>
      <w:marTop w:val="0"/>
      <w:marBottom w:val="0"/>
      <w:divBdr>
        <w:top w:val="none" w:sz="0" w:space="0" w:color="auto"/>
        <w:left w:val="none" w:sz="0" w:space="0" w:color="auto"/>
        <w:bottom w:val="none" w:sz="0" w:space="0" w:color="auto"/>
        <w:right w:val="none" w:sz="0" w:space="0" w:color="auto"/>
      </w:divBdr>
    </w:div>
    <w:div w:id="627929978">
      <w:bodyDiv w:val="1"/>
      <w:marLeft w:val="0"/>
      <w:marRight w:val="0"/>
      <w:marTop w:val="0"/>
      <w:marBottom w:val="0"/>
      <w:divBdr>
        <w:top w:val="none" w:sz="0" w:space="0" w:color="auto"/>
        <w:left w:val="none" w:sz="0" w:space="0" w:color="auto"/>
        <w:bottom w:val="none" w:sz="0" w:space="0" w:color="auto"/>
        <w:right w:val="none" w:sz="0" w:space="0" w:color="auto"/>
      </w:divBdr>
    </w:div>
    <w:div w:id="642777941">
      <w:bodyDiv w:val="1"/>
      <w:marLeft w:val="0"/>
      <w:marRight w:val="0"/>
      <w:marTop w:val="0"/>
      <w:marBottom w:val="0"/>
      <w:divBdr>
        <w:top w:val="none" w:sz="0" w:space="0" w:color="auto"/>
        <w:left w:val="none" w:sz="0" w:space="0" w:color="auto"/>
        <w:bottom w:val="none" w:sz="0" w:space="0" w:color="auto"/>
        <w:right w:val="none" w:sz="0" w:space="0" w:color="auto"/>
      </w:divBdr>
    </w:div>
    <w:div w:id="672300053">
      <w:bodyDiv w:val="1"/>
      <w:marLeft w:val="0"/>
      <w:marRight w:val="0"/>
      <w:marTop w:val="0"/>
      <w:marBottom w:val="0"/>
      <w:divBdr>
        <w:top w:val="none" w:sz="0" w:space="0" w:color="auto"/>
        <w:left w:val="none" w:sz="0" w:space="0" w:color="auto"/>
        <w:bottom w:val="none" w:sz="0" w:space="0" w:color="auto"/>
        <w:right w:val="none" w:sz="0" w:space="0" w:color="auto"/>
      </w:divBdr>
    </w:div>
    <w:div w:id="674459883">
      <w:bodyDiv w:val="1"/>
      <w:marLeft w:val="0"/>
      <w:marRight w:val="0"/>
      <w:marTop w:val="0"/>
      <w:marBottom w:val="0"/>
      <w:divBdr>
        <w:top w:val="none" w:sz="0" w:space="0" w:color="auto"/>
        <w:left w:val="none" w:sz="0" w:space="0" w:color="auto"/>
        <w:bottom w:val="none" w:sz="0" w:space="0" w:color="auto"/>
        <w:right w:val="none" w:sz="0" w:space="0" w:color="auto"/>
      </w:divBdr>
    </w:div>
    <w:div w:id="681981185">
      <w:bodyDiv w:val="1"/>
      <w:marLeft w:val="0"/>
      <w:marRight w:val="0"/>
      <w:marTop w:val="0"/>
      <w:marBottom w:val="0"/>
      <w:divBdr>
        <w:top w:val="none" w:sz="0" w:space="0" w:color="auto"/>
        <w:left w:val="none" w:sz="0" w:space="0" w:color="auto"/>
        <w:bottom w:val="none" w:sz="0" w:space="0" w:color="auto"/>
        <w:right w:val="none" w:sz="0" w:space="0" w:color="auto"/>
      </w:divBdr>
    </w:div>
    <w:div w:id="738983950">
      <w:bodyDiv w:val="1"/>
      <w:marLeft w:val="0"/>
      <w:marRight w:val="0"/>
      <w:marTop w:val="0"/>
      <w:marBottom w:val="0"/>
      <w:divBdr>
        <w:top w:val="none" w:sz="0" w:space="0" w:color="auto"/>
        <w:left w:val="none" w:sz="0" w:space="0" w:color="auto"/>
        <w:bottom w:val="none" w:sz="0" w:space="0" w:color="auto"/>
        <w:right w:val="none" w:sz="0" w:space="0" w:color="auto"/>
      </w:divBdr>
    </w:div>
    <w:div w:id="745298600">
      <w:bodyDiv w:val="1"/>
      <w:marLeft w:val="0"/>
      <w:marRight w:val="0"/>
      <w:marTop w:val="0"/>
      <w:marBottom w:val="0"/>
      <w:divBdr>
        <w:top w:val="none" w:sz="0" w:space="0" w:color="auto"/>
        <w:left w:val="none" w:sz="0" w:space="0" w:color="auto"/>
        <w:bottom w:val="none" w:sz="0" w:space="0" w:color="auto"/>
        <w:right w:val="none" w:sz="0" w:space="0" w:color="auto"/>
      </w:divBdr>
    </w:div>
    <w:div w:id="780034624">
      <w:bodyDiv w:val="1"/>
      <w:marLeft w:val="0"/>
      <w:marRight w:val="0"/>
      <w:marTop w:val="0"/>
      <w:marBottom w:val="0"/>
      <w:divBdr>
        <w:top w:val="none" w:sz="0" w:space="0" w:color="auto"/>
        <w:left w:val="none" w:sz="0" w:space="0" w:color="auto"/>
        <w:bottom w:val="none" w:sz="0" w:space="0" w:color="auto"/>
        <w:right w:val="none" w:sz="0" w:space="0" w:color="auto"/>
      </w:divBdr>
    </w:div>
    <w:div w:id="792791903">
      <w:bodyDiv w:val="1"/>
      <w:marLeft w:val="0"/>
      <w:marRight w:val="0"/>
      <w:marTop w:val="0"/>
      <w:marBottom w:val="0"/>
      <w:divBdr>
        <w:top w:val="none" w:sz="0" w:space="0" w:color="auto"/>
        <w:left w:val="none" w:sz="0" w:space="0" w:color="auto"/>
        <w:bottom w:val="none" w:sz="0" w:space="0" w:color="auto"/>
        <w:right w:val="none" w:sz="0" w:space="0" w:color="auto"/>
      </w:divBdr>
    </w:div>
    <w:div w:id="827358489">
      <w:bodyDiv w:val="1"/>
      <w:marLeft w:val="0"/>
      <w:marRight w:val="0"/>
      <w:marTop w:val="0"/>
      <w:marBottom w:val="0"/>
      <w:divBdr>
        <w:top w:val="none" w:sz="0" w:space="0" w:color="auto"/>
        <w:left w:val="none" w:sz="0" w:space="0" w:color="auto"/>
        <w:bottom w:val="none" w:sz="0" w:space="0" w:color="auto"/>
        <w:right w:val="none" w:sz="0" w:space="0" w:color="auto"/>
      </w:divBdr>
    </w:div>
    <w:div w:id="861893040">
      <w:bodyDiv w:val="1"/>
      <w:marLeft w:val="0"/>
      <w:marRight w:val="0"/>
      <w:marTop w:val="0"/>
      <w:marBottom w:val="0"/>
      <w:divBdr>
        <w:top w:val="none" w:sz="0" w:space="0" w:color="auto"/>
        <w:left w:val="none" w:sz="0" w:space="0" w:color="auto"/>
        <w:bottom w:val="none" w:sz="0" w:space="0" w:color="auto"/>
        <w:right w:val="none" w:sz="0" w:space="0" w:color="auto"/>
      </w:divBdr>
    </w:div>
    <w:div w:id="872957502">
      <w:bodyDiv w:val="1"/>
      <w:marLeft w:val="0"/>
      <w:marRight w:val="0"/>
      <w:marTop w:val="0"/>
      <w:marBottom w:val="0"/>
      <w:divBdr>
        <w:top w:val="none" w:sz="0" w:space="0" w:color="auto"/>
        <w:left w:val="none" w:sz="0" w:space="0" w:color="auto"/>
        <w:bottom w:val="none" w:sz="0" w:space="0" w:color="auto"/>
        <w:right w:val="none" w:sz="0" w:space="0" w:color="auto"/>
      </w:divBdr>
    </w:div>
    <w:div w:id="896548909">
      <w:bodyDiv w:val="1"/>
      <w:marLeft w:val="0"/>
      <w:marRight w:val="0"/>
      <w:marTop w:val="0"/>
      <w:marBottom w:val="0"/>
      <w:divBdr>
        <w:top w:val="none" w:sz="0" w:space="0" w:color="auto"/>
        <w:left w:val="none" w:sz="0" w:space="0" w:color="auto"/>
        <w:bottom w:val="none" w:sz="0" w:space="0" w:color="auto"/>
        <w:right w:val="none" w:sz="0" w:space="0" w:color="auto"/>
      </w:divBdr>
    </w:div>
    <w:div w:id="903682481">
      <w:bodyDiv w:val="1"/>
      <w:marLeft w:val="0"/>
      <w:marRight w:val="0"/>
      <w:marTop w:val="0"/>
      <w:marBottom w:val="0"/>
      <w:divBdr>
        <w:top w:val="none" w:sz="0" w:space="0" w:color="auto"/>
        <w:left w:val="none" w:sz="0" w:space="0" w:color="auto"/>
        <w:bottom w:val="none" w:sz="0" w:space="0" w:color="auto"/>
        <w:right w:val="none" w:sz="0" w:space="0" w:color="auto"/>
      </w:divBdr>
    </w:div>
    <w:div w:id="926620795">
      <w:bodyDiv w:val="1"/>
      <w:marLeft w:val="0"/>
      <w:marRight w:val="0"/>
      <w:marTop w:val="0"/>
      <w:marBottom w:val="0"/>
      <w:divBdr>
        <w:top w:val="none" w:sz="0" w:space="0" w:color="auto"/>
        <w:left w:val="none" w:sz="0" w:space="0" w:color="auto"/>
        <w:bottom w:val="none" w:sz="0" w:space="0" w:color="auto"/>
        <w:right w:val="none" w:sz="0" w:space="0" w:color="auto"/>
      </w:divBdr>
    </w:div>
    <w:div w:id="1068460483">
      <w:bodyDiv w:val="1"/>
      <w:marLeft w:val="0"/>
      <w:marRight w:val="0"/>
      <w:marTop w:val="0"/>
      <w:marBottom w:val="0"/>
      <w:divBdr>
        <w:top w:val="none" w:sz="0" w:space="0" w:color="auto"/>
        <w:left w:val="none" w:sz="0" w:space="0" w:color="auto"/>
        <w:bottom w:val="none" w:sz="0" w:space="0" w:color="auto"/>
        <w:right w:val="none" w:sz="0" w:space="0" w:color="auto"/>
      </w:divBdr>
    </w:div>
    <w:div w:id="1100298555">
      <w:bodyDiv w:val="1"/>
      <w:marLeft w:val="0"/>
      <w:marRight w:val="0"/>
      <w:marTop w:val="0"/>
      <w:marBottom w:val="0"/>
      <w:divBdr>
        <w:top w:val="none" w:sz="0" w:space="0" w:color="auto"/>
        <w:left w:val="none" w:sz="0" w:space="0" w:color="auto"/>
        <w:bottom w:val="none" w:sz="0" w:space="0" w:color="auto"/>
        <w:right w:val="none" w:sz="0" w:space="0" w:color="auto"/>
      </w:divBdr>
    </w:div>
    <w:div w:id="1108087814">
      <w:bodyDiv w:val="1"/>
      <w:marLeft w:val="0"/>
      <w:marRight w:val="0"/>
      <w:marTop w:val="0"/>
      <w:marBottom w:val="0"/>
      <w:divBdr>
        <w:top w:val="none" w:sz="0" w:space="0" w:color="auto"/>
        <w:left w:val="none" w:sz="0" w:space="0" w:color="auto"/>
        <w:bottom w:val="none" w:sz="0" w:space="0" w:color="auto"/>
        <w:right w:val="none" w:sz="0" w:space="0" w:color="auto"/>
      </w:divBdr>
    </w:div>
    <w:div w:id="1151873825">
      <w:bodyDiv w:val="1"/>
      <w:marLeft w:val="0"/>
      <w:marRight w:val="0"/>
      <w:marTop w:val="0"/>
      <w:marBottom w:val="0"/>
      <w:divBdr>
        <w:top w:val="none" w:sz="0" w:space="0" w:color="auto"/>
        <w:left w:val="none" w:sz="0" w:space="0" w:color="auto"/>
        <w:bottom w:val="none" w:sz="0" w:space="0" w:color="auto"/>
        <w:right w:val="none" w:sz="0" w:space="0" w:color="auto"/>
      </w:divBdr>
    </w:div>
    <w:div w:id="1203588743">
      <w:bodyDiv w:val="1"/>
      <w:marLeft w:val="0"/>
      <w:marRight w:val="0"/>
      <w:marTop w:val="0"/>
      <w:marBottom w:val="0"/>
      <w:divBdr>
        <w:top w:val="none" w:sz="0" w:space="0" w:color="auto"/>
        <w:left w:val="none" w:sz="0" w:space="0" w:color="auto"/>
        <w:bottom w:val="none" w:sz="0" w:space="0" w:color="auto"/>
        <w:right w:val="none" w:sz="0" w:space="0" w:color="auto"/>
      </w:divBdr>
    </w:div>
    <w:div w:id="1248029452">
      <w:bodyDiv w:val="1"/>
      <w:marLeft w:val="0"/>
      <w:marRight w:val="0"/>
      <w:marTop w:val="0"/>
      <w:marBottom w:val="0"/>
      <w:divBdr>
        <w:top w:val="none" w:sz="0" w:space="0" w:color="auto"/>
        <w:left w:val="none" w:sz="0" w:space="0" w:color="auto"/>
        <w:bottom w:val="none" w:sz="0" w:space="0" w:color="auto"/>
        <w:right w:val="none" w:sz="0" w:space="0" w:color="auto"/>
      </w:divBdr>
    </w:div>
    <w:div w:id="1249509607">
      <w:bodyDiv w:val="1"/>
      <w:marLeft w:val="0"/>
      <w:marRight w:val="0"/>
      <w:marTop w:val="0"/>
      <w:marBottom w:val="0"/>
      <w:divBdr>
        <w:top w:val="none" w:sz="0" w:space="0" w:color="auto"/>
        <w:left w:val="none" w:sz="0" w:space="0" w:color="auto"/>
        <w:bottom w:val="none" w:sz="0" w:space="0" w:color="auto"/>
        <w:right w:val="none" w:sz="0" w:space="0" w:color="auto"/>
      </w:divBdr>
    </w:div>
    <w:div w:id="1298098922">
      <w:bodyDiv w:val="1"/>
      <w:marLeft w:val="0"/>
      <w:marRight w:val="0"/>
      <w:marTop w:val="0"/>
      <w:marBottom w:val="0"/>
      <w:divBdr>
        <w:top w:val="none" w:sz="0" w:space="0" w:color="auto"/>
        <w:left w:val="none" w:sz="0" w:space="0" w:color="auto"/>
        <w:bottom w:val="none" w:sz="0" w:space="0" w:color="auto"/>
        <w:right w:val="none" w:sz="0" w:space="0" w:color="auto"/>
      </w:divBdr>
    </w:div>
    <w:div w:id="1326006331">
      <w:bodyDiv w:val="1"/>
      <w:marLeft w:val="0"/>
      <w:marRight w:val="0"/>
      <w:marTop w:val="0"/>
      <w:marBottom w:val="0"/>
      <w:divBdr>
        <w:top w:val="none" w:sz="0" w:space="0" w:color="auto"/>
        <w:left w:val="none" w:sz="0" w:space="0" w:color="auto"/>
        <w:bottom w:val="none" w:sz="0" w:space="0" w:color="auto"/>
        <w:right w:val="none" w:sz="0" w:space="0" w:color="auto"/>
      </w:divBdr>
    </w:div>
    <w:div w:id="1326862334">
      <w:bodyDiv w:val="1"/>
      <w:marLeft w:val="0"/>
      <w:marRight w:val="0"/>
      <w:marTop w:val="0"/>
      <w:marBottom w:val="0"/>
      <w:divBdr>
        <w:top w:val="none" w:sz="0" w:space="0" w:color="auto"/>
        <w:left w:val="none" w:sz="0" w:space="0" w:color="auto"/>
        <w:bottom w:val="none" w:sz="0" w:space="0" w:color="auto"/>
        <w:right w:val="none" w:sz="0" w:space="0" w:color="auto"/>
      </w:divBdr>
    </w:div>
    <w:div w:id="1361122506">
      <w:bodyDiv w:val="1"/>
      <w:marLeft w:val="0"/>
      <w:marRight w:val="0"/>
      <w:marTop w:val="0"/>
      <w:marBottom w:val="0"/>
      <w:divBdr>
        <w:top w:val="none" w:sz="0" w:space="0" w:color="auto"/>
        <w:left w:val="none" w:sz="0" w:space="0" w:color="auto"/>
        <w:bottom w:val="none" w:sz="0" w:space="0" w:color="auto"/>
        <w:right w:val="none" w:sz="0" w:space="0" w:color="auto"/>
      </w:divBdr>
    </w:div>
    <w:div w:id="1417943490">
      <w:bodyDiv w:val="1"/>
      <w:marLeft w:val="0"/>
      <w:marRight w:val="0"/>
      <w:marTop w:val="0"/>
      <w:marBottom w:val="0"/>
      <w:divBdr>
        <w:top w:val="none" w:sz="0" w:space="0" w:color="auto"/>
        <w:left w:val="none" w:sz="0" w:space="0" w:color="auto"/>
        <w:bottom w:val="none" w:sz="0" w:space="0" w:color="auto"/>
        <w:right w:val="none" w:sz="0" w:space="0" w:color="auto"/>
      </w:divBdr>
    </w:div>
    <w:div w:id="1437945110">
      <w:bodyDiv w:val="1"/>
      <w:marLeft w:val="0"/>
      <w:marRight w:val="0"/>
      <w:marTop w:val="0"/>
      <w:marBottom w:val="0"/>
      <w:divBdr>
        <w:top w:val="none" w:sz="0" w:space="0" w:color="auto"/>
        <w:left w:val="none" w:sz="0" w:space="0" w:color="auto"/>
        <w:bottom w:val="none" w:sz="0" w:space="0" w:color="auto"/>
        <w:right w:val="none" w:sz="0" w:space="0" w:color="auto"/>
      </w:divBdr>
    </w:div>
    <w:div w:id="1470854026">
      <w:bodyDiv w:val="1"/>
      <w:marLeft w:val="0"/>
      <w:marRight w:val="0"/>
      <w:marTop w:val="0"/>
      <w:marBottom w:val="0"/>
      <w:divBdr>
        <w:top w:val="none" w:sz="0" w:space="0" w:color="auto"/>
        <w:left w:val="none" w:sz="0" w:space="0" w:color="auto"/>
        <w:bottom w:val="none" w:sz="0" w:space="0" w:color="auto"/>
        <w:right w:val="none" w:sz="0" w:space="0" w:color="auto"/>
      </w:divBdr>
    </w:div>
    <w:div w:id="1475178389">
      <w:bodyDiv w:val="1"/>
      <w:marLeft w:val="0"/>
      <w:marRight w:val="0"/>
      <w:marTop w:val="0"/>
      <w:marBottom w:val="0"/>
      <w:divBdr>
        <w:top w:val="none" w:sz="0" w:space="0" w:color="auto"/>
        <w:left w:val="none" w:sz="0" w:space="0" w:color="auto"/>
        <w:bottom w:val="none" w:sz="0" w:space="0" w:color="auto"/>
        <w:right w:val="none" w:sz="0" w:space="0" w:color="auto"/>
      </w:divBdr>
    </w:div>
    <w:div w:id="1480462200">
      <w:bodyDiv w:val="1"/>
      <w:marLeft w:val="0"/>
      <w:marRight w:val="0"/>
      <w:marTop w:val="0"/>
      <w:marBottom w:val="0"/>
      <w:divBdr>
        <w:top w:val="none" w:sz="0" w:space="0" w:color="auto"/>
        <w:left w:val="none" w:sz="0" w:space="0" w:color="auto"/>
        <w:bottom w:val="none" w:sz="0" w:space="0" w:color="auto"/>
        <w:right w:val="none" w:sz="0" w:space="0" w:color="auto"/>
      </w:divBdr>
    </w:div>
    <w:div w:id="1484852985">
      <w:bodyDiv w:val="1"/>
      <w:marLeft w:val="0"/>
      <w:marRight w:val="0"/>
      <w:marTop w:val="0"/>
      <w:marBottom w:val="0"/>
      <w:divBdr>
        <w:top w:val="none" w:sz="0" w:space="0" w:color="auto"/>
        <w:left w:val="none" w:sz="0" w:space="0" w:color="auto"/>
        <w:bottom w:val="none" w:sz="0" w:space="0" w:color="auto"/>
        <w:right w:val="none" w:sz="0" w:space="0" w:color="auto"/>
      </w:divBdr>
    </w:div>
    <w:div w:id="1490637242">
      <w:bodyDiv w:val="1"/>
      <w:marLeft w:val="0"/>
      <w:marRight w:val="0"/>
      <w:marTop w:val="0"/>
      <w:marBottom w:val="0"/>
      <w:divBdr>
        <w:top w:val="none" w:sz="0" w:space="0" w:color="auto"/>
        <w:left w:val="none" w:sz="0" w:space="0" w:color="auto"/>
        <w:bottom w:val="none" w:sz="0" w:space="0" w:color="auto"/>
        <w:right w:val="none" w:sz="0" w:space="0" w:color="auto"/>
      </w:divBdr>
    </w:div>
    <w:div w:id="1556311679">
      <w:bodyDiv w:val="1"/>
      <w:marLeft w:val="0"/>
      <w:marRight w:val="0"/>
      <w:marTop w:val="0"/>
      <w:marBottom w:val="0"/>
      <w:divBdr>
        <w:top w:val="none" w:sz="0" w:space="0" w:color="auto"/>
        <w:left w:val="none" w:sz="0" w:space="0" w:color="auto"/>
        <w:bottom w:val="none" w:sz="0" w:space="0" w:color="auto"/>
        <w:right w:val="none" w:sz="0" w:space="0" w:color="auto"/>
      </w:divBdr>
    </w:div>
    <w:div w:id="1596161968">
      <w:bodyDiv w:val="1"/>
      <w:marLeft w:val="0"/>
      <w:marRight w:val="0"/>
      <w:marTop w:val="0"/>
      <w:marBottom w:val="0"/>
      <w:divBdr>
        <w:top w:val="none" w:sz="0" w:space="0" w:color="auto"/>
        <w:left w:val="none" w:sz="0" w:space="0" w:color="auto"/>
        <w:bottom w:val="none" w:sz="0" w:space="0" w:color="auto"/>
        <w:right w:val="none" w:sz="0" w:space="0" w:color="auto"/>
      </w:divBdr>
    </w:div>
    <w:div w:id="1628270639">
      <w:bodyDiv w:val="1"/>
      <w:marLeft w:val="0"/>
      <w:marRight w:val="0"/>
      <w:marTop w:val="0"/>
      <w:marBottom w:val="0"/>
      <w:divBdr>
        <w:top w:val="none" w:sz="0" w:space="0" w:color="auto"/>
        <w:left w:val="none" w:sz="0" w:space="0" w:color="auto"/>
        <w:bottom w:val="none" w:sz="0" w:space="0" w:color="auto"/>
        <w:right w:val="none" w:sz="0" w:space="0" w:color="auto"/>
      </w:divBdr>
    </w:div>
    <w:div w:id="1658339847">
      <w:bodyDiv w:val="1"/>
      <w:marLeft w:val="0"/>
      <w:marRight w:val="0"/>
      <w:marTop w:val="0"/>
      <w:marBottom w:val="0"/>
      <w:divBdr>
        <w:top w:val="none" w:sz="0" w:space="0" w:color="auto"/>
        <w:left w:val="none" w:sz="0" w:space="0" w:color="auto"/>
        <w:bottom w:val="none" w:sz="0" w:space="0" w:color="auto"/>
        <w:right w:val="none" w:sz="0" w:space="0" w:color="auto"/>
      </w:divBdr>
    </w:div>
    <w:div w:id="1745489366">
      <w:bodyDiv w:val="1"/>
      <w:marLeft w:val="0"/>
      <w:marRight w:val="0"/>
      <w:marTop w:val="0"/>
      <w:marBottom w:val="0"/>
      <w:divBdr>
        <w:top w:val="none" w:sz="0" w:space="0" w:color="auto"/>
        <w:left w:val="none" w:sz="0" w:space="0" w:color="auto"/>
        <w:bottom w:val="none" w:sz="0" w:space="0" w:color="auto"/>
        <w:right w:val="none" w:sz="0" w:space="0" w:color="auto"/>
      </w:divBdr>
    </w:div>
    <w:div w:id="1758792926">
      <w:bodyDiv w:val="1"/>
      <w:marLeft w:val="0"/>
      <w:marRight w:val="0"/>
      <w:marTop w:val="0"/>
      <w:marBottom w:val="0"/>
      <w:divBdr>
        <w:top w:val="none" w:sz="0" w:space="0" w:color="auto"/>
        <w:left w:val="none" w:sz="0" w:space="0" w:color="auto"/>
        <w:bottom w:val="none" w:sz="0" w:space="0" w:color="auto"/>
        <w:right w:val="none" w:sz="0" w:space="0" w:color="auto"/>
      </w:divBdr>
    </w:div>
    <w:div w:id="1774206881">
      <w:bodyDiv w:val="1"/>
      <w:marLeft w:val="0"/>
      <w:marRight w:val="0"/>
      <w:marTop w:val="0"/>
      <w:marBottom w:val="0"/>
      <w:divBdr>
        <w:top w:val="none" w:sz="0" w:space="0" w:color="auto"/>
        <w:left w:val="none" w:sz="0" w:space="0" w:color="auto"/>
        <w:bottom w:val="none" w:sz="0" w:space="0" w:color="auto"/>
        <w:right w:val="none" w:sz="0" w:space="0" w:color="auto"/>
      </w:divBdr>
    </w:div>
    <w:div w:id="1783303054">
      <w:bodyDiv w:val="1"/>
      <w:marLeft w:val="0"/>
      <w:marRight w:val="0"/>
      <w:marTop w:val="0"/>
      <w:marBottom w:val="0"/>
      <w:divBdr>
        <w:top w:val="none" w:sz="0" w:space="0" w:color="auto"/>
        <w:left w:val="none" w:sz="0" w:space="0" w:color="auto"/>
        <w:bottom w:val="none" w:sz="0" w:space="0" w:color="auto"/>
        <w:right w:val="none" w:sz="0" w:space="0" w:color="auto"/>
      </w:divBdr>
    </w:div>
    <w:div w:id="1801848698">
      <w:bodyDiv w:val="1"/>
      <w:marLeft w:val="0"/>
      <w:marRight w:val="0"/>
      <w:marTop w:val="0"/>
      <w:marBottom w:val="0"/>
      <w:divBdr>
        <w:top w:val="none" w:sz="0" w:space="0" w:color="auto"/>
        <w:left w:val="none" w:sz="0" w:space="0" w:color="auto"/>
        <w:bottom w:val="none" w:sz="0" w:space="0" w:color="auto"/>
        <w:right w:val="none" w:sz="0" w:space="0" w:color="auto"/>
      </w:divBdr>
    </w:div>
    <w:div w:id="1810244788">
      <w:bodyDiv w:val="1"/>
      <w:marLeft w:val="0"/>
      <w:marRight w:val="0"/>
      <w:marTop w:val="0"/>
      <w:marBottom w:val="0"/>
      <w:divBdr>
        <w:top w:val="none" w:sz="0" w:space="0" w:color="auto"/>
        <w:left w:val="none" w:sz="0" w:space="0" w:color="auto"/>
        <w:bottom w:val="none" w:sz="0" w:space="0" w:color="auto"/>
        <w:right w:val="none" w:sz="0" w:space="0" w:color="auto"/>
      </w:divBdr>
    </w:div>
    <w:div w:id="1817260730">
      <w:bodyDiv w:val="1"/>
      <w:marLeft w:val="0"/>
      <w:marRight w:val="0"/>
      <w:marTop w:val="0"/>
      <w:marBottom w:val="0"/>
      <w:divBdr>
        <w:top w:val="none" w:sz="0" w:space="0" w:color="auto"/>
        <w:left w:val="none" w:sz="0" w:space="0" w:color="auto"/>
        <w:bottom w:val="none" w:sz="0" w:space="0" w:color="auto"/>
        <w:right w:val="none" w:sz="0" w:space="0" w:color="auto"/>
      </w:divBdr>
    </w:div>
    <w:div w:id="1856848582">
      <w:bodyDiv w:val="1"/>
      <w:marLeft w:val="0"/>
      <w:marRight w:val="0"/>
      <w:marTop w:val="0"/>
      <w:marBottom w:val="0"/>
      <w:divBdr>
        <w:top w:val="none" w:sz="0" w:space="0" w:color="auto"/>
        <w:left w:val="none" w:sz="0" w:space="0" w:color="auto"/>
        <w:bottom w:val="none" w:sz="0" w:space="0" w:color="auto"/>
        <w:right w:val="none" w:sz="0" w:space="0" w:color="auto"/>
      </w:divBdr>
    </w:div>
    <w:div w:id="1863854691">
      <w:bodyDiv w:val="1"/>
      <w:marLeft w:val="0"/>
      <w:marRight w:val="0"/>
      <w:marTop w:val="0"/>
      <w:marBottom w:val="0"/>
      <w:divBdr>
        <w:top w:val="none" w:sz="0" w:space="0" w:color="auto"/>
        <w:left w:val="none" w:sz="0" w:space="0" w:color="auto"/>
        <w:bottom w:val="none" w:sz="0" w:space="0" w:color="auto"/>
        <w:right w:val="none" w:sz="0" w:space="0" w:color="auto"/>
      </w:divBdr>
    </w:div>
    <w:div w:id="1873570333">
      <w:bodyDiv w:val="1"/>
      <w:marLeft w:val="0"/>
      <w:marRight w:val="0"/>
      <w:marTop w:val="0"/>
      <w:marBottom w:val="0"/>
      <w:divBdr>
        <w:top w:val="none" w:sz="0" w:space="0" w:color="auto"/>
        <w:left w:val="none" w:sz="0" w:space="0" w:color="auto"/>
        <w:bottom w:val="none" w:sz="0" w:space="0" w:color="auto"/>
        <w:right w:val="none" w:sz="0" w:space="0" w:color="auto"/>
      </w:divBdr>
    </w:div>
    <w:div w:id="1881042595">
      <w:bodyDiv w:val="1"/>
      <w:marLeft w:val="0"/>
      <w:marRight w:val="0"/>
      <w:marTop w:val="0"/>
      <w:marBottom w:val="0"/>
      <w:divBdr>
        <w:top w:val="none" w:sz="0" w:space="0" w:color="auto"/>
        <w:left w:val="none" w:sz="0" w:space="0" w:color="auto"/>
        <w:bottom w:val="none" w:sz="0" w:space="0" w:color="auto"/>
        <w:right w:val="none" w:sz="0" w:space="0" w:color="auto"/>
      </w:divBdr>
    </w:div>
    <w:div w:id="1899898701">
      <w:bodyDiv w:val="1"/>
      <w:marLeft w:val="0"/>
      <w:marRight w:val="0"/>
      <w:marTop w:val="0"/>
      <w:marBottom w:val="0"/>
      <w:divBdr>
        <w:top w:val="none" w:sz="0" w:space="0" w:color="auto"/>
        <w:left w:val="none" w:sz="0" w:space="0" w:color="auto"/>
        <w:bottom w:val="none" w:sz="0" w:space="0" w:color="auto"/>
        <w:right w:val="none" w:sz="0" w:space="0" w:color="auto"/>
      </w:divBdr>
    </w:div>
    <w:div w:id="1913848689">
      <w:bodyDiv w:val="1"/>
      <w:marLeft w:val="0"/>
      <w:marRight w:val="0"/>
      <w:marTop w:val="0"/>
      <w:marBottom w:val="0"/>
      <w:divBdr>
        <w:top w:val="none" w:sz="0" w:space="0" w:color="auto"/>
        <w:left w:val="none" w:sz="0" w:space="0" w:color="auto"/>
        <w:bottom w:val="none" w:sz="0" w:space="0" w:color="auto"/>
        <w:right w:val="none" w:sz="0" w:space="0" w:color="auto"/>
      </w:divBdr>
    </w:div>
    <w:div w:id="1942182758">
      <w:bodyDiv w:val="1"/>
      <w:marLeft w:val="0"/>
      <w:marRight w:val="0"/>
      <w:marTop w:val="0"/>
      <w:marBottom w:val="0"/>
      <w:divBdr>
        <w:top w:val="none" w:sz="0" w:space="0" w:color="auto"/>
        <w:left w:val="none" w:sz="0" w:space="0" w:color="auto"/>
        <w:bottom w:val="none" w:sz="0" w:space="0" w:color="auto"/>
        <w:right w:val="none" w:sz="0" w:space="0" w:color="auto"/>
      </w:divBdr>
    </w:div>
    <w:div w:id="1970475397">
      <w:bodyDiv w:val="1"/>
      <w:marLeft w:val="0"/>
      <w:marRight w:val="0"/>
      <w:marTop w:val="0"/>
      <w:marBottom w:val="0"/>
      <w:divBdr>
        <w:top w:val="none" w:sz="0" w:space="0" w:color="auto"/>
        <w:left w:val="none" w:sz="0" w:space="0" w:color="auto"/>
        <w:bottom w:val="none" w:sz="0" w:space="0" w:color="auto"/>
        <w:right w:val="none" w:sz="0" w:space="0" w:color="auto"/>
      </w:divBdr>
    </w:div>
    <w:div w:id="1998873041">
      <w:bodyDiv w:val="1"/>
      <w:marLeft w:val="0"/>
      <w:marRight w:val="0"/>
      <w:marTop w:val="0"/>
      <w:marBottom w:val="0"/>
      <w:divBdr>
        <w:top w:val="none" w:sz="0" w:space="0" w:color="auto"/>
        <w:left w:val="none" w:sz="0" w:space="0" w:color="auto"/>
        <w:bottom w:val="none" w:sz="0" w:space="0" w:color="auto"/>
        <w:right w:val="none" w:sz="0" w:space="0" w:color="auto"/>
      </w:divBdr>
    </w:div>
    <w:div w:id="2007247811">
      <w:bodyDiv w:val="1"/>
      <w:marLeft w:val="0"/>
      <w:marRight w:val="0"/>
      <w:marTop w:val="0"/>
      <w:marBottom w:val="0"/>
      <w:divBdr>
        <w:top w:val="none" w:sz="0" w:space="0" w:color="auto"/>
        <w:left w:val="none" w:sz="0" w:space="0" w:color="auto"/>
        <w:bottom w:val="none" w:sz="0" w:space="0" w:color="auto"/>
        <w:right w:val="none" w:sz="0" w:space="0" w:color="auto"/>
      </w:divBdr>
    </w:div>
    <w:div w:id="2007588702">
      <w:bodyDiv w:val="1"/>
      <w:marLeft w:val="0"/>
      <w:marRight w:val="0"/>
      <w:marTop w:val="0"/>
      <w:marBottom w:val="0"/>
      <w:divBdr>
        <w:top w:val="none" w:sz="0" w:space="0" w:color="auto"/>
        <w:left w:val="none" w:sz="0" w:space="0" w:color="auto"/>
        <w:bottom w:val="none" w:sz="0" w:space="0" w:color="auto"/>
        <w:right w:val="none" w:sz="0" w:space="0" w:color="auto"/>
      </w:divBdr>
    </w:div>
    <w:div w:id="2061325908">
      <w:bodyDiv w:val="1"/>
      <w:marLeft w:val="0"/>
      <w:marRight w:val="0"/>
      <w:marTop w:val="0"/>
      <w:marBottom w:val="0"/>
      <w:divBdr>
        <w:top w:val="none" w:sz="0" w:space="0" w:color="auto"/>
        <w:left w:val="none" w:sz="0" w:space="0" w:color="auto"/>
        <w:bottom w:val="none" w:sz="0" w:space="0" w:color="auto"/>
        <w:right w:val="none" w:sz="0" w:space="0" w:color="auto"/>
      </w:divBdr>
    </w:div>
    <w:div w:id="2073773728">
      <w:bodyDiv w:val="1"/>
      <w:marLeft w:val="0"/>
      <w:marRight w:val="0"/>
      <w:marTop w:val="0"/>
      <w:marBottom w:val="0"/>
      <w:divBdr>
        <w:top w:val="none" w:sz="0" w:space="0" w:color="auto"/>
        <w:left w:val="none" w:sz="0" w:space="0" w:color="auto"/>
        <w:bottom w:val="none" w:sz="0" w:space="0" w:color="auto"/>
        <w:right w:val="none" w:sz="0" w:space="0" w:color="auto"/>
      </w:divBdr>
    </w:div>
    <w:div w:id="2103917247">
      <w:bodyDiv w:val="1"/>
      <w:marLeft w:val="0"/>
      <w:marRight w:val="0"/>
      <w:marTop w:val="0"/>
      <w:marBottom w:val="0"/>
      <w:divBdr>
        <w:top w:val="none" w:sz="0" w:space="0" w:color="auto"/>
        <w:left w:val="none" w:sz="0" w:space="0" w:color="auto"/>
        <w:bottom w:val="none" w:sz="0" w:space="0" w:color="auto"/>
        <w:right w:val="none" w:sz="0" w:space="0" w:color="auto"/>
      </w:divBdr>
    </w:div>
    <w:div w:id="21268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489dc2-50cf-493e-a704-cb1420394a7d" xsi:nil="true"/>
    <lcf76f155ced4ddcb4097134ff3c332f xmlns="966e0af8-eb04-4871-9ba3-4bac4d7ba4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14" ma:contentTypeDescription="Crear nuevo documento." ma:contentTypeScope="" ma:versionID="b2a24577f90cfd05fd82c1a5d76ea8ba">
  <xsd:schema xmlns:xsd="http://www.w3.org/2001/XMLSchema" xmlns:xs="http://www.w3.org/2001/XMLSchema" xmlns:p="http://schemas.microsoft.com/office/2006/metadata/properties" xmlns:ns2="966e0af8-eb04-4871-9ba3-4bac4d7ba408" xmlns:ns3="28489dc2-50cf-493e-a704-cb1420394a7d" targetNamespace="http://schemas.microsoft.com/office/2006/metadata/properties" ma:root="true" ma:fieldsID="c6d758aef4907c8719f4ba8df5011785" ns2:_="" ns3:_="">
    <xsd:import namespace="966e0af8-eb04-4871-9ba3-4bac4d7ba408"/>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d1bcfab-92ed-418b-a830-1d6ea5935d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64cec46-a817-428a-87a7-9f7fdb4146ae}" ma:internalName="TaxCatchAll" ma:showField="CatchAllData" ma:web="28489dc2-50cf-493e-a704-cb1420394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FF2C-CE56-4F2A-9408-FB57DAEF7614}">
  <ds:schemaRefs>
    <ds:schemaRef ds:uri="http://schemas.microsoft.com/office/2006/metadata/properties"/>
    <ds:schemaRef ds:uri="http://schemas.microsoft.com/office/infopath/2007/PartnerControls"/>
    <ds:schemaRef ds:uri="28489dc2-50cf-493e-a704-cb1420394a7d"/>
    <ds:schemaRef ds:uri="966e0af8-eb04-4871-9ba3-4bac4d7ba408"/>
  </ds:schemaRefs>
</ds:datastoreItem>
</file>

<file path=customXml/itemProps2.xml><?xml version="1.0" encoding="utf-8"?>
<ds:datastoreItem xmlns:ds="http://schemas.openxmlformats.org/officeDocument/2006/customXml" ds:itemID="{456160CD-8111-4BF8-B1E6-04B4B63B3A07}">
  <ds:schemaRefs>
    <ds:schemaRef ds:uri="http://schemas.microsoft.com/sharepoint/v3/contenttype/forms"/>
  </ds:schemaRefs>
</ds:datastoreItem>
</file>

<file path=customXml/itemProps3.xml><?xml version="1.0" encoding="utf-8"?>
<ds:datastoreItem xmlns:ds="http://schemas.openxmlformats.org/officeDocument/2006/customXml" ds:itemID="{0426D6BA-F372-4662-95AB-FAFE9B868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6BD50-F08A-4782-BA52-D3068303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12848</Words>
  <Characters>70667</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83349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Vizcaino</dc:creator>
  <cp:keywords/>
  <cp:lastModifiedBy>Pedro Pauel Montero De Oleo</cp:lastModifiedBy>
  <cp:revision>2</cp:revision>
  <cp:lastPrinted>2025-07-16T02:12:00Z</cp:lastPrinted>
  <dcterms:created xsi:type="dcterms:W3CDTF">2025-08-19T13:35:00Z</dcterms:created>
  <dcterms:modified xsi:type="dcterms:W3CDTF">2025-08-19T13:35:00Z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MediaServiceImageTags">
    <vt:lpwstr/>
  </property>
</Properties>
</file>